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8096A" w14:textId="5B50FA4D" w:rsidR="003429AA" w:rsidRPr="005B56E2" w:rsidRDefault="003429AA" w:rsidP="009322F9">
      <w:pPr>
        <w:jc w:val="both"/>
        <w:rPr>
          <w:rStyle w:val="fontstyle01"/>
          <w:sz w:val="24"/>
          <w:szCs w:val="24"/>
        </w:rPr>
      </w:pPr>
      <w:r w:rsidRPr="005B56E2">
        <w:rPr>
          <w:rStyle w:val="fontstyle01"/>
          <w:sz w:val="24"/>
          <w:szCs w:val="24"/>
        </w:rPr>
        <w:t>Załącznik nr 1 do Wniosku</w:t>
      </w:r>
    </w:p>
    <w:p w14:paraId="4C9F5342" w14:textId="77777777" w:rsidR="003429AA" w:rsidRPr="005B56E2" w:rsidRDefault="003429AA" w:rsidP="009322F9">
      <w:pPr>
        <w:jc w:val="both"/>
        <w:rPr>
          <w:rStyle w:val="fontstyle01"/>
          <w:sz w:val="24"/>
          <w:szCs w:val="24"/>
        </w:rPr>
      </w:pPr>
    </w:p>
    <w:p w14:paraId="1749EB69" w14:textId="77777777" w:rsidR="003429AA" w:rsidRPr="005B56E2" w:rsidRDefault="003429AA" w:rsidP="009322F9">
      <w:pPr>
        <w:jc w:val="both"/>
        <w:rPr>
          <w:rStyle w:val="fontstyle01"/>
          <w:sz w:val="24"/>
          <w:szCs w:val="24"/>
        </w:rPr>
      </w:pPr>
    </w:p>
    <w:p w14:paraId="09D8EC38" w14:textId="282C0214" w:rsidR="003429AA" w:rsidRPr="005B56E2" w:rsidRDefault="003429AA" w:rsidP="001A3C07">
      <w:pPr>
        <w:jc w:val="center"/>
        <w:rPr>
          <w:rFonts w:ascii="Cambria-Bold" w:hAnsi="Cambria-Bold"/>
          <w:b/>
          <w:bCs/>
          <w:color w:val="000000"/>
          <w:sz w:val="32"/>
          <w:szCs w:val="32"/>
          <w:u w:val="single"/>
        </w:rPr>
      </w:pPr>
      <w:r w:rsidRPr="005B56E2">
        <w:rPr>
          <w:rFonts w:ascii="Cambria-Bold" w:hAnsi="Cambria-Bold"/>
          <w:b/>
          <w:bCs/>
          <w:color w:val="000000"/>
          <w:sz w:val="32"/>
          <w:szCs w:val="32"/>
          <w:u w:val="single"/>
        </w:rPr>
        <w:t>Opis przedmiotu zamówienia</w:t>
      </w:r>
    </w:p>
    <w:p w14:paraId="3B587090" w14:textId="77777777" w:rsidR="003429AA" w:rsidRPr="005B56E2" w:rsidRDefault="003429AA" w:rsidP="009322F9">
      <w:pPr>
        <w:jc w:val="both"/>
        <w:rPr>
          <w:rFonts w:ascii="Cambria-Bold" w:hAnsi="Cambria-Bold"/>
          <w:b/>
          <w:bCs/>
          <w:color w:val="000000"/>
          <w:sz w:val="24"/>
          <w:szCs w:val="24"/>
          <w:u w:val="single"/>
        </w:rPr>
      </w:pPr>
    </w:p>
    <w:p w14:paraId="4AE32019" w14:textId="06F73F9C" w:rsidR="003429AA" w:rsidRPr="005B56E2" w:rsidRDefault="003429AA" w:rsidP="009322F9">
      <w:pPr>
        <w:jc w:val="both"/>
        <w:rPr>
          <w:rFonts w:ascii="Cambria-Bold" w:hAnsi="Cambria-Bold"/>
          <w:b/>
          <w:bCs/>
          <w:color w:val="000000"/>
          <w:sz w:val="24"/>
          <w:szCs w:val="24"/>
          <w:u w:val="single"/>
        </w:rPr>
      </w:pPr>
      <w:r w:rsidRPr="005B56E2">
        <w:rPr>
          <w:rFonts w:ascii="Cambria-Bold" w:hAnsi="Cambria-Bold"/>
          <w:b/>
          <w:bCs/>
          <w:color w:val="000000"/>
          <w:sz w:val="24"/>
          <w:szCs w:val="24"/>
          <w:u w:val="single"/>
        </w:rPr>
        <w:t>Dla zamówienia pod tytułem:</w:t>
      </w:r>
    </w:p>
    <w:p w14:paraId="564FF9B2" w14:textId="1BEA6396" w:rsidR="003429AA" w:rsidRPr="00DF4F9E" w:rsidRDefault="003429AA" w:rsidP="009322F9">
      <w:pPr>
        <w:jc w:val="both"/>
        <w:rPr>
          <w:rFonts w:ascii="Cambria-Bold" w:hAnsi="Cambria-Bold"/>
          <w:b/>
          <w:bCs/>
          <w:color w:val="000000"/>
          <w:sz w:val="24"/>
          <w:szCs w:val="24"/>
        </w:rPr>
      </w:pPr>
      <w:r w:rsidRPr="00DF4F9E">
        <w:rPr>
          <w:rFonts w:ascii="Cambria-Bold" w:hAnsi="Cambria-Bold"/>
          <w:b/>
          <w:bCs/>
          <w:color w:val="000000"/>
          <w:sz w:val="24"/>
          <w:szCs w:val="24"/>
        </w:rPr>
        <w:t>„</w:t>
      </w:r>
      <w:r w:rsidR="00DF4F9E" w:rsidRPr="00DF4F9E">
        <w:rPr>
          <w:rFonts w:ascii="Cambria-Bold" w:hAnsi="Cambria-Bold"/>
          <w:b/>
          <w:bCs/>
          <w:color w:val="000000"/>
          <w:sz w:val="24"/>
          <w:szCs w:val="24"/>
        </w:rPr>
        <w:t xml:space="preserve">Opracowanie </w:t>
      </w:r>
      <w:r w:rsidR="00503720">
        <w:rPr>
          <w:rFonts w:ascii="Cambria-Bold" w:hAnsi="Cambria-Bold"/>
          <w:b/>
          <w:bCs/>
          <w:color w:val="000000"/>
          <w:sz w:val="24"/>
          <w:szCs w:val="24"/>
        </w:rPr>
        <w:t>narzędzi</w:t>
      </w:r>
      <w:r w:rsidR="00DF4F9E" w:rsidRPr="00DF4F9E">
        <w:rPr>
          <w:rFonts w:ascii="Cambria-Bold" w:hAnsi="Cambria-Bold"/>
          <w:b/>
          <w:bCs/>
          <w:color w:val="000000"/>
          <w:sz w:val="24"/>
          <w:szCs w:val="24"/>
        </w:rPr>
        <w:t xml:space="preserve"> do automatycznej generalizacji i redakcji kartograficznej Bazy Danych Obiektów Topograficznych BDOT10k do map topograficznych w skali </w:t>
      </w:r>
      <w:r w:rsidR="00DF4F9E">
        <w:rPr>
          <w:rFonts w:ascii="Cambria-Bold" w:hAnsi="Cambria-Bold"/>
          <w:b/>
          <w:bCs/>
          <w:color w:val="000000"/>
          <w:sz w:val="24"/>
          <w:szCs w:val="24"/>
        </w:rPr>
        <w:br/>
      </w:r>
      <w:r w:rsidR="00DF4F9E" w:rsidRPr="00DF4F9E">
        <w:rPr>
          <w:rFonts w:ascii="Cambria-Bold" w:hAnsi="Cambria-Bold"/>
          <w:b/>
          <w:bCs/>
          <w:color w:val="000000"/>
          <w:sz w:val="24"/>
          <w:szCs w:val="24"/>
        </w:rPr>
        <w:t>1:50 000</w:t>
      </w:r>
      <w:r w:rsidRPr="00DF4F9E">
        <w:rPr>
          <w:rFonts w:ascii="Cambria-Bold" w:hAnsi="Cambria-Bold"/>
          <w:b/>
          <w:bCs/>
          <w:color w:val="000000"/>
          <w:sz w:val="24"/>
          <w:szCs w:val="24"/>
        </w:rPr>
        <w:t>”</w:t>
      </w:r>
    </w:p>
    <w:p w14:paraId="4F48CBD6" w14:textId="77777777" w:rsidR="003429AA" w:rsidRPr="005B56E2" w:rsidRDefault="003429AA" w:rsidP="009322F9">
      <w:pPr>
        <w:jc w:val="both"/>
        <w:rPr>
          <w:rFonts w:ascii="Cambria-Bold" w:hAnsi="Cambria-Bold"/>
          <w:b/>
          <w:bCs/>
          <w:color w:val="000000"/>
          <w:sz w:val="24"/>
          <w:szCs w:val="24"/>
          <w:u w:val="single"/>
        </w:rPr>
      </w:pPr>
    </w:p>
    <w:p w14:paraId="552AFA14" w14:textId="70D427C6" w:rsidR="003429AA" w:rsidRPr="00F83820" w:rsidRDefault="003429AA" w:rsidP="009322F9">
      <w:pPr>
        <w:jc w:val="both"/>
        <w:rPr>
          <w:rFonts w:cstheme="minorHAnsi"/>
          <w:color w:val="000000"/>
          <w:sz w:val="24"/>
          <w:szCs w:val="24"/>
        </w:rPr>
      </w:pPr>
      <w:r w:rsidRPr="00F83820">
        <w:rPr>
          <w:rFonts w:cstheme="minorHAnsi"/>
          <w:color w:val="000000"/>
          <w:sz w:val="24"/>
          <w:szCs w:val="24"/>
        </w:rPr>
        <w:t>W ramach wykonania zamówienia Wykonawca (Uczestnik Konkursu) dostarczy</w:t>
      </w:r>
      <w:r w:rsidR="00AB0526">
        <w:rPr>
          <w:rFonts w:cstheme="minorHAnsi"/>
          <w:color w:val="000000"/>
          <w:sz w:val="24"/>
          <w:szCs w:val="24"/>
        </w:rPr>
        <w:t xml:space="preserve"> poniższe produkty</w:t>
      </w:r>
      <w:r w:rsidRPr="00F83820">
        <w:rPr>
          <w:rFonts w:cstheme="minorHAnsi"/>
          <w:color w:val="000000"/>
          <w:sz w:val="24"/>
          <w:szCs w:val="24"/>
        </w:rPr>
        <w:t>:</w:t>
      </w:r>
    </w:p>
    <w:p w14:paraId="75B75EDB" w14:textId="2D439704" w:rsidR="003429AA" w:rsidRPr="00F83820" w:rsidRDefault="00666908" w:rsidP="00662F03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p</w:t>
      </w:r>
      <w:r w:rsidR="00503720">
        <w:rPr>
          <w:rFonts w:cstheme="minorHAnsi"/>
          <w:color w:val="000000"/>
          <w:sz w:val="24"/>
          <w:szCs w:val="24"/>
        </w:rPr>
        <w:t>rocesy zapisane w plikach *.fmw i ew. dodatkowe transformatory w plikach *.fmx</w:t>
      </w:r>
      <w:r w:rsidR="00662F03">
        <w:rPr>
          <w:rFonts w:cstheme="minorHAnsi"/>
          <w:color w:val="000000"/>
          <w:sz w:val="24"/>
          <w:szCs w:val="24"/>
        </w:rPr>
        <w:t xml:space="preserve"> lub kody źródłowe w jęz. Python (</w:t>
      </w:r>
      <w:r w:rsidR="00662F03" w:rsidRPr="00662F03">
        <w:rPr>
          <w:rFonts w:cstheme="minorHAnsi"/>
          <w:color w:val="000000"/>
          <w:sz w:val="24"/>
          <w:szCs w:val="24"/>
        </w:rPr>
        <w:t>procesy, dodatkowe transformatory</w:t>
      </w:r>
      <w:r w:rsidR="00662F03">
        <w:rPr>
          <w:rFonts w:cstheme="minorHAnsi"/>
          <w:color w:val="000000"/>
          <w:sz w:val="24"/>
          <w:szCs w:val="24"/>
        </w:rPr>
        <w:t>, kody źródłowe w </w:t>
      </w:r>
      <w:r w:rsidR="00662F03" w:rsidRPr="00662F03">
        <w:rPr>
          <w:rFonts w:cstheme="minorHAnsi"/>
          <w:color w:val="000000"/>
          <w:sz w:val="24"/>
          <w:szCs w:val="24"/>
        </w:rPr>
        <w:t>jęz. Python stanowią kod źródłowy)</w:t>
      </w:r>
      <w:r w:rsidR="005B56E2" w:rsidRPr="00F83820">
        <w:rPr>
          <w:rFonts w:cstheme="minorHAnsi"/>
          <w:color w:val="000000"/>
          <w:sz w:val="24"/>
          <w:szCs w:val="24"/>
        </w:rPr>
        <w:t>;</w:t>
      </w:r>
    </w:p>
    <w:p w14:paraId="5075C936" w14:textId="01DE0943" w:rsidR="00345B7F" w:rsidRPr="00683486" w:rsidRDefault="00666908" w:rsidP="00345B7F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b</w:t>
      </w:r>
      <w:r w:rsidR="00503720">
        <w:rPr>
          <w:rFonts w:cstheme="minorHAnsi"/>
          <w:color w:val="000000"/>
          <w:sz w:val="24"/>
          <w:szCs w:val="24"/>
        </w:rPr>
        <w:t>ibliot</w:t>
      </w:r>
      <w:r>
        <w:rPr>
          <w:rFonts w:cstheme="minorHAnsi"/>
          <w:color w:val="000000"/>
          <w:sz w:val="24"/>
          <w:szCs w:val="24"/>
        </w:rPr>
        <w:t>ekę symboli dla QGIS lub ArcMap</w:t>
      </w:r>
      <w:r w:rsidR="00CE21EC">
        <w:rPr>
          <w:rFonts w:cstheme="minorHAnsi"/>
          <w:color w:val="000000"/>
          <w:sz w:val="24"/>
          <w:szCs w:val="24"/>
        </w:rPr>
        <w:t xml:space="preserve"> wraz z plikim projektowym w QGIS lub ArcMap</w:t>
      </w:r>
      <w:r>
        <w:rPr>
          <w:rFonts w:cstheme="minorHAnsi"/>
          <w:color w:val="000000"/>
          <w:sz w:val="24"/>
          <w:szCs w:val="24"/>
        </w:rPr>
        <w:t>;</w:t>
      </w:r>
    </w:p>
    <w:p w14:paraId="2CFA3B14" w14:textId="549BAF76" w:rsidR="00683486" w:rsidRPr="00345B7F" w:rsidRDefault="00683486" w:rsidP="00683486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pliki GML i ew. pliki geobazy – wyniki automatycznej generalizacji i redakcji kartograficznej dla godeł: </w:t>
      </w:r>
      <w:r w:rsidRPr="00683486">
        <w:rPr>
          <w:rFonts w:cstheme="minorHAnsi"/>
          <w:color w:val="000000"/>
          <w:sz w:val="24"/>
          <w:szCs w:val="24"/>
        </w:rPr>
        <w:t>M-34-75-C</w:t>
      </w:r>
      <w:r>
        <w:rPr>
          <w:rFonts w:cstheme="minorHAnsi"/>
          <w:color w:val="000000"/>
          <w:sz w:val="24"/>
          <w:szCs w:val="24"/>
        </w:rPr>
        <w:t xml:space="preserve"> i </w:t>
      </w:r>
      <w:r w:rsidRPr="00683486">
        <w:rPr>
          <w:rFonts w:cstheme="minorHAnsi"/>
          <w:color w:val="000000"/>
          <w:sz w:val="24"/>
          <w:szCs w:val="24"/>
        </w:rPr>
        <w:t>N-34-139-A</w:t>
      </w:r>
      <w:r w:rsidR="00AC1DA2">
        <w:rPr>
          <w:rFonts w:cstheme="minorHAnsi"/>
          <w:color w:val="000000"/>
          <w:sz w:val="24"/>
          <w:szCs w:val="24"/>
        </w:rPr>
        <w:t xml:space="preserve"> zrealizowane w ramach przygotowanych procesów, o których mowa w pkt. 1</w:t>
      </w:r>
      <w:r>
        <w:rPr>
          <w:rFonts w:cstheme="minorHAnsi"/>
          <w:color w:val="000000"/>
          <w:sz w:val="24"/>
          <w:szCs w:val="24"/>
        </w:rPr>
        <w:t>;</w:t>
      </w:r>
    </w:p>
    <w:p w14:paraId="208DB5A2" w14:textId="63506D4C" w:rsidR="00503720" w:rsidRPr="00F83820" w:rsidRDefault="00666908" w:rsidP="00A75639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o</w:t>
      </w:r>
      <w:r w:rsidR="00503720">
        <w:rPr>
          <w:rFonts w:cstheme="minorHAnsi"/>
          <w:color w:val="000000"/>
          <w:sz w:val="24"/>
          <w:szCs w:val="24"/>
        </w:rPr>
        <w:t>pis przygotowanych procesów z instrukcją uruchamiania</w:t>
      </w:r>
      <w:r w:rsidR="00A75639">
        <w:rPr>
          <w:rFonts w:cstheme="minorHAnsi"/>
          <w:color w:val="000000"/>
          <w:sz w:val="24"/>
          <w:szCs w:val="24"/>
        </w:rPr>
        <w:t xml:space="preserve"> </w:t>
      </w:r>
      <w:r w:rsidR="00A75639" w:rsidRPr="00A75639">
        <w:rPr>
          <w:rFonts w:cstheme="minorHAnsi"/>
          <w:color w:val="000000"/>
          <w:sz w:val="24"/>
          <w:szCs w:val="24"/>
        </w:rPr>
        <w:t>(zawierający instrukcje instalacji i konfiguracji)</w:t>
      </w:r>
      <w:r w:rsidR="00503720">
        <w:rPr>
          <w:rFonts w:cstheme="minorHAnsi"/>
          <w:color w:val="000000"/>
          <w:sz w:val="24"/>
          <w:szCs w:val="24"/>
        </w:rPr>
        <w:t>.</w:t>
      </w:r>
    </w:p>
    <w:p w14:paraId="65EB0361" w14:textId="77777777" w:rsidR="002C1341" w:rsidRDefault="00EE77ED" w:rsidP="009322F9">
      <w:pPr>
        <w:jc w:val="both"/>
        <w:rPr>
          <w:rFonts w:cstheme="minorHAnsi"/>
          <w:sz w:val="24"/>
          <w:szCs w:val="24"/>
        </w:rPr>
      </w:pPr>
      <w:r w:rsidRPr="00F83820">
        <w:rPr>
          <w:rFonts w:cstheme="minorHAnsi"/>
          <w:sz w:val="24"/>
          <w:szCs w:val="24"/>
        </w:rPr>
        <w:t xml:space="preserve">Minimalny zakres wymagań </w:t>
      </w:r>
      <w:r w:rsidR="00F35B8D" w:rsidRPr="00F83820">
        <w:rPr>
          <w:rFonts w:cstheme="minorHAnsi"/>
          <w:sz w:val="24"/>
          <w:szCs w:val="24"/>
        </w:rPr>
        <w:t xml:space="preserve">obligatoryjnych </w:t>
      </w:r>
      <w:r w:rsidRPr="00F83820">
        <w:rPr>
          <w:rFonts w:cstheme="minorHAnsi"/>
          <w:sz w:val="24"/>
          <w:szCs w:val="24"/>
        </w:rPr>
        <w:t xml:space="preserve">jakie Wykonawca </w:t>
      </w:r>
      <w:r w:rsidR="0061591D">
        <w:rPr>
          <w:rFonts w:cstheme="minorHAnsi"/>
          <w:sz w:val="24"/>
          <w:szCs w:val="24"/>
        </w:rPr>
        <w:t>musi spełnić zawarte</w:t>
      </w:r>
      <w:r w:rsidR="008C6BBD">
        <w:rPr>
          <w:rFonts w:cstheme="minorHAnsi"/>
          <w:sz w:val="24"/>
          <w:szCs w:val="24"/>
        </w:rPr>
        <w:t xml:space="preserve"> </w:t>
      </w:r>
      <w:r w:rsidR="0061591D">
        <w:rPr>
          <w:rFonts w:cstheme="minorHAnsi"/>
          <w:sz w:val="24"/>
          <w:szCs w:val="24"/>
        </w:rPr>
        <w:t>są</w:t>
      </w:r>
      <w:r w:rsidR="008C6BBD">
        <w:rPr>
          <w:rFonts w:cstheme="minorHAnsi"/>
          <w:sz w:val="24"/>
          <w:szCs w:val="24"/>
        </w:rPr>
        <w:t xml:space="preserve"> </w:t>
      </w:r>
      <w:r w:rsidR="00DF4F9E">
        <w:rPr>
          <w:rFonts w:cstheme="minorHAnsi"/>
          <w:sz w:val="24"/>
          <w:szCs w:val="24"/>
        </w:rPr>
        <w:br/>
        <w:t>w tabeli</w:t>
      </w:r>
      <w:r w:rsidRPr="00F83820">
        <w:rPr>
          <w:rFonts w:cstheme="minorHAnsi"/>
          <w:sz w:val="24"/>
          <w:szCs w:val="24"/>
        </w:rPr>
        <w:t xml:space="preserve"> nr 1</w:t>
      </w:r>
      <w:r w:rsidR="00F35B8D" w:rsidRPr="00F83820">
        <w:rPr>
          <w:rFonts w:cstheme="minorHAnsi"/>
          <w:sz w:val="24"/>
          <w:szCs w:val="24"/>
        </w:rPr>
        <w:t>. Wymagania fakultat</w:t>
      </w:r>
      <w:r w:rsidR="00D9119C">
        <w:rPr>
          <w:rFonts w:cstheme="minorHAnsi"/>
          <w:sz w:val="24"/>
          <w:szCs w:val="24"/>
        </w:rPr>
        <w:t>ywne</w:t>
      </w:r>
      <w:r w:rsidR="00DF4F9E">
        <w:rPr>
          <w:rFonts w:cstheme="minorHAnsi"/>
          <w:sz w:val="24"/>
          <w:szCs w:val="24"/>
        </w:rPr>
        <w:t xml:space="preserve"> zawarte są w tabeli</w:t>
      </w:r>
      <w:r w:rsidR="00F35B8D" w:rsidRPr="00F83820">
        <w:rPr>
          <w:rFonts w:cstheme="minorHAnsi"/>
          <w:sz w:val="24"/>
          <w:szCs w:val="24"/>
        </w:rPr>
        <w:t xml:space="preserve"> nr </w:t>
      </w:r>
      <w:r w:rsidR="008C6BBD">
        <w:rPr>
          <w:rFonts w:cstheme="minorHAnsi"/>
          <w:sz w:val="24"/>
          <w:szCs w:val="24"/>
        </w:rPr>
        <w:t>2.</w:t>
      </w:r>
    </w:p>
    <w:p w14:paraId="5646F127" w14:textId="59C41612" w:rsidR="00213150" w:rsidRPr="00DF4F9E" w:rsidRDefault="009F480C" w:rsidP="009322F9">
      <w:pPr>
        <w:jc w:val="both"/>
        <w:rPr>
          <w:rFonts w:cstheme="minorHAnsi"/>
          <w:sz w:val="24"/>
          <w:szCs w:val="24"/>
        </w:rPr>
      </w:pPr>
      <w:r w:rsidRPr="009F480C">
        <w:rPr>
          <w:sz w:val="24"/>
          <w:szCs w:val="24"/>
        </w:rPr>
        <w:t>Na czas trwania konkursu</w:t>
      </w:r>
      <w:r w:rsidRPr="009F480C">
        <w:rPr>
          <w:rFonts w:cstheme="minorHAnsi"/>
          <w:sz w:val="24"/>
          <w:szCs w:val="24"/>
        </w:rPr>
        <w:t xml:space="preserve"> </w:t>
      </w:r>
      <w:r w:rsidR="002C1341" w:rsidRPr="009F480C">
        <w:rPr>
          <w:rFonts w:cstheme="minorHAnsi"/>
          <w:sz w:val="24"/>
          <w:szCs w:val="24"/>
        </w:rPr>
        <w:t>Zamawiający zapewni uczestnikom dopuszczonym do udziału w konkursie</w:t>
      </w:r>
      <w:r w:rsidR="002C1341" w:rsidRPr="009F480C">
        <w:rPr>
          <w:sz w:val="24"/>
          <w:szCs w:val="24"/>
        </w:rPr>
        <w:t xml:space="preserve"> </w:t>
      </w:r>
      <w:r w:rsidRPr="009F480C">
        <w:rPr>
          <w:sz w:val="24"/>
          <w:szCs w:val="24"/>
        </w:rPr>
        <w:t>dostęp</w:t>
      </w:r>
      <w:r w:rsidR="002C1341" w:rsidRPr="009F480C">
        <w:rPr>
          <w:sz w:val="24"/>
          <w:szCs w:val="24"/>
        </w:rPr>
        <w:t xml:space="preserve"> do oprogramowania FME.</w:t>
      </w:r>
      <w:r w:rsidR="003429AA" w:rsidRPr="00EE77ED">
        <w:rPr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61591D" w14:paraId="1B7185B1" w14:textId="77777777" w:rsidTr="0061591D">
        <w:tc>
          <w:tcPr>
            <w:tcW w:w="562" w:type="dxa"/>
          </w:tcPr>
          <w:p w14:paraId="1A140CCB" w14:textId="1C2AF006" w:rsidR="0061591D" w:rsidRDefault="0061591D" w:rsidP="009322F9">
            <w:pPr>
              <w:jc w:val="center"/>
            </w:pPr>
            <w:r>
              <w:lastRenderedPageBreak/>
              <w:t>L.p.</w:t>
            </w:r>
          </w:p>
        </w:tc>
        <w:tc>
          <w:tcPr>
            <w:tcW w:w="8500" w:type="dxa"/>
          </w:tcPr>
          <w:p w14:paraId="0E3B7E86" w14:textId="568A6E7E" w:rsidR="0061591D" w:rsidRDefault="0061591D" w:rsidP="009322F9">
            <w:pPr>
              <w:jc w:val="center"/>
            </w:pPr>
            <w:r w:rsidRPr="005B56E2">
              <w:rPr>
                <w:b/>
                <w:sz w:val="24"/>
                <w:szCs w:val="24"/>
              </w:rPr>
              <w:t>Treść wymagania</w:t>
            </w:r>
          </w:p>
        </w:tc>
      </w:tr>
      <w:tr w:rsidR="0061591D" w14:paraId="2CBCDB78" w14:textId="77777777" w:rsidTr="0061591D">
        <w:tc>
          <w:tcPr>
            <w:tcW w:w="562" w:type="dxa"/>
          </w:tcPr>
          <w:p w14:paraId="6D2294D1" w14:textId="70AAA85F" w:rsidR="0061591D" w:rsidRDefault="0017093F" w:rsidP="009322F9">
            <w:pPr>
              <w:jc w:val="both"/>
            </w:pPr>
            <w:r>
              <w:t>1</w:t>
            </w:r>
          </w:p>
        </w:tc>
        <w:tc>
          <w:tcPr>
            <w:tcW w:w="8500" w:type="dxa"/>
          </w:tcPr>
          <w:p w14:paraId="62B3F4A2" w14:textId="6E6D0A6C" w:rsidR="0061591D" w:rsidRDefault="004550A3" w:rsidP="009322F9">
            <w:pPr>
              <w:jc w:val="both"/>
            </w:pPr>
            <w:r>
              <w:t>Dostarczone</w:t>
            </w:r>
            <w:r w:rsidR="0017093F">
              <w:t xml:space="preserve"> prze</w:t>
            </w:r>
            <w:r w:rsidR="00682FE2">
              <w:t>z</w:t>
            </w:r>
            <w:r w:rsidR="0017093F">
              <w:t xml:space="preserve"> Wykon</w:t>
            </w:r>
            <w:r w:rsidR="007E2585">
              <w:t>awcę proces</w:t>
            </w:r>
            <w:r>
              <w:t>y muszą</w:t>
            </w:r>
            <w:r w:rsidR="0017093F">
              <w:t xml:space="preserve"> działać w oprogramowaniu FME Work</w:t>
            </w:r>
            <w:r w:rsidR="002A0FE0">
              <w:t>bench oraz FME Server (firmy Safe Software) w wersji minimum 2021.0.2.</w:t>
            </w:r>
          </w:p>
        </w:tc>
      </w:tr>
      <w:tr w:rsidR="0061591D" w14:paraId="040998B4" w14:textId="77777777" w:rsidTr="0061591D">
        <w:tc>
          <w:tcPr>
            <w:tcW w:w="562" w:type="dxa"/>
          </w:tcPr>
          <w:p w14:paraId="643C64A8" w14:textId="05962E0F" w:rsidR="0061591D" w:rsidRDefault="00682FE2" w:rsidP="009322F9">
            <w:pPr>
              <w:jc w:val="both"/>
            </w:pPr>
            <w:r>
              <w:t>2</w:t>
            </w:r>
          </w:p>
        </w:tc>
        <w:tc>
          <w:tcPr>
            <w:tcW w:w="8500" w:type="dxa"/>
          </w:tcPr>
          <w:p w14:paraId="7BEE679B" w14:textId="2C85D5D5" w:rsidR="0061591D" w:rsidRDefault="00AC1DA2" w:rsidP="003D5A4E">
            <w:pPr>
              <w:jc w:val="both"/>
            </w:pPr>
            <w:r>
              <w:t>Wykonawca musi przygotować</w:t>
            </w:r>
            <w:r w:rsidR="004550A3">
              <w:t xml:space="preserve"> p</w:t>
            </w:r>
            <w:r w:rsidR="007E2585">
              <w:t>roces</w:t>
            </w:r>
            <w:r w:rsidR="004550A3">
              <w:t>, który</w:t>
            </w:r>
            <w:r w:rsidR="00682FE2">
              <w:t xml:space="preserve"> </w:t>
            </w:r>
            <w:r w:rsidR="004F78E6">
              <w:t xml:space="preserve">przed rozpoczęciem generalizacji i redakcji kartograficznej </w:t>
            </w:r>
            <w:r w:rsidR="004550A3">
              <w:t>DCM</w:t>
            </w:r>
            <w:r w:rsidR="0027362E">
              <w:t xml:space="preserve"> (</w:t>
            </w:r>
            <w:hyperlink r:id="rId7" w:history="1">
              <w:r w:rsidR="0027362E">
                <w:t>Digital Cartographic Model)</w:t>
              </w:r>
            </w:hyperlink>
            <w:r w:rsidR="0027362E">
              <w:t xml:space="preserve"> </w:t>
            </w:r>
            <w:r w:rsidR="004550A3">
              <w:t>za</w:t>
            </w:r>
            <w:r w:rsidR="00682FE2">
              <w:t>import</w:t>
            </w:r>
            <w:r w:rsidR="004550A3">
              <w:t>uje</w:t>
            </w:r>
            <w:r w:rsidR="00682FE2">
              <w:t xml:space="preserve"> dane </w:t>
            </w:r>
            <w:bookmarkStart w:id="0" w:name="_GoBack"/>
            <w:r w:rsidR="004F78E6">
              <w:t>BDOT</w:t>
            </w:r>
            <w:bookmarkEnd w:id="0"/>
            <w:r w:rsidR="004F78E6">
              <w:t xml:space="preserve">10k w formacie </w:t>
            </w:r>
            <w:r w:rsidR="00682FE2">
              <w:t xml:space="preserve">GML </w:t>
            </w:r>
            <w:r w:rsidR="00DD10FC">
              <w:t>udostępnione przez Organizatora Konkursu</w:t>
            </w:r>
            <w:r w:rsidR="004F78E6">
              <w:t xml:space="preserve"> </w:t>
            </w:r>
            <w:r w:rsidR="00682FE2">
              <w:t xml:space="preserve">i </w:t>
            </w:r>
            <w:r w:rsidR="004550A3">
              <w:t>zapisze</w:t>
            </w:r>
            <w:r w:rsidR="00682FE2">
              <w:t xml:space="preserve"> </w:t>
            </w:r>
            <w:r w:rsidR="004F78E6">
              <w:t xml:space="preserve">te </w:t>
            </w:r>
            <w:r w:rsidR="00682FE2">
              <w:t>dane do formatu FFS (</w:t>
            </w:r>
            <w:r w:rsidR="007E2585">
              <w:t xml:space="preserve">natywny </w:t>
            </w:r>
            <w:r w:rsidR="00682FE2">
              <w:t>format FME).</w:t>
            </w:r>
          </w:p>
        </w:tc>
      </w:tr>
      <w:tr w:rsidR="0061591D" w14:paraId="13C5DAF2" w14:textId="77777777" w:rsidTr="0061591D">
        <w:tc>
          <w:tcPr>
            <w:tcW w:w="562" w:type="dxa"/>
          </w:tcPr>
          <w:p w14:paraId="7CCD4B62" w14:textId="6D71B224" w:rsidR="0061591D" w:rsidRDefault="00682FE2" w:rsidP="009322F9">
            <w:pPr>
              <w:jc w:val="both"/>
            </w:pPr>
            <w:r>
              <w:t>3</w:t>
            </w:r>
          </w:p>
        </w:tc>
        <w:tc>
          <w:tcPr>
            <w:tcW w:w="8500" w:type="dxa"/>
          </w:tcPr>
          <w:p w14:paraId="6AD1F58C" w14:textId="2CB61D6F" w:rsidR="0061591D" w:rsidRDefault="00AC1DA2" w:rsidP="006B7757">
            <w:pPr>
              <w:jc w:val="both"/>
            </w:pPr>
            <w:r>
              <w:t>Wykonawca musi przygotować proces</w:t>
            </w:r>
            <w:r w:rsidR="004550A3">
              <w:t>, który zapisze</w:t>
            </w:r>
            <w:r w:rsidR="007E2585">
              <w:t xml:space="preserve"> ostateczne wyniki generalizacji i redakcji kartograficznej</w:t>
            </w:r>
            <w:r w:rsidR="004550A3">
              <w:t xml:space="preserve"> DCM</w:t>
            </w:r>
            <w:r w:rsidR="007E2585">
              <w:t xml:space="preserve"> do formatu GML zgodnego ze schematem aplikacyjnym GML </w:t>
            </w:r>
            <w:r w:rsidR="008407C8">
              <w:t>(załączony</w:t>
            </w:r>
            <w:r w:rsidR="007B6925">
              <w:t xml:space="preserve"> do OPZ plik </w:t>
            </w:r>
            <w:r w:rsidR="007E2585">
              <w:t>KARTO</w:t>
            </w:r>
            <w:r w:rsidR="007B6925">
              <w:t>.xsd).</w:t>
            </w:r>
            <w:r w:rsidR="006B7757">
              <w:t xml:space="preserve"> W przypadku wyboru przez Wykonawcę oprogramowania ArcMap do wyświetlenia wynikowej mapy topograficznej 1:50 000, proces musi również zapisywać wyniki do plików geobazy ESRI.</w:t>
            </w:r>
          </w:p>
        </w:tc>
      </w:tr>
      <w:tr w:rsidR="008407C8" w14:paraId="1D88289F" w14:textId="77777777" w:rsidTr="0061591D">
        <w:tc>
          <w:tcPr>
            <w:tcW w:w="562" w:type="dxa"/>
          </w:tcPr>
          <w:p w14:paraId="5EFBA5D6" w14:textId="73CAF411" w:rsidR="008407C8" w:rsidRDefault="00C14815" w:rsidP="009322F9">
            <w:pPr>
              <w:jc w:val="both"/>
            </w:pPr>
            <w:r>
              <w:t>4</w:t>
            </w:r>
          </w:p>
        </w:tc>
        <w:tc>
          <w:tcPr>
            <w:tcW w:w="8500" w:type="dxa"/>
          </w:tcPr>
          <w:p w14:paraId="7715E1E6" w14:textId="55749026" w:rsidR="008407C8" w:rsidRDefault="008407C8" w:rsidP="00C14815">
            <w:pPr>
              <w:jc w:val="both"/>
            </w:pPr>
            <w:r>
              <w:t>Pliki wynikowe GML muszą się walidować ze schematem aplikacyjnym GML (załączony do OPZ plik KARTO.xsd).</w:t>
            </w:r>
            <w:r w:rsidR="00C14815">
              <w:t xml:space="preserve"> Wynik walidacji musi być pozytywny.</w:t>
            </w:r>
          </w:p>
        </w:tc>
      </w:tr>
      <w:tr w:rsidR="008407C8" w14:paraId="2768715F" w14:textId="77777777" w:rsidTr="0061591D">
        <w:tc>
          <w:tcPr>
            <w:tcW w:w="562" w:type="dxa"/>
          </w:tcPr>
          <w:p w14:paraId="0E985D16" w14:textId="648F64F3" w:rsidR="008407C8" w:rsidRDefault="006B7757" w:rsidP="009322F9">
            <w:pPr>
              <w:jc w:val="both"/>
            </w:pPr>
            <w:r>
              <w:t>5</w:t>
            </w:r>
          </w:p>
        </w:tc>
        <w:tc>
          <w:tcPr>
            <w:tcW w:w="8500" w:type="dxa"/>
          </w:tcPr>
          <w:p w14:paraId="0637D80F" w14:textId="723BE622" w:rsidR="008407C8" w:rsidRDefault="008407C8" w:rsidP="00922C8D">
            <w:pPr>
              <w:jc w:val="both"/>
            </w:pPr>
            <w:r>
              <w:t xml:space="preserve">Wykonawca musi </w:t>
            </w:r>
            <w:r w:rsidR="00C14815">
              <w:t xml:space="preserve">przygotować i </w:t>
            </w:r>
            <w:r>
              <w:t xml:space="preserve">dostarczyć bibliotekę symboli wraz z projektem dla oprogramowania QGIS (wersja </w:t>
            </w:r>
            <w:r w:rsidR="00C14815">
              <w:rPr>
                <w:sz w:val="24"/>
                <w:szCs w:val="24"/>
              </w:rPr>
              <w:t xml:space="preserve">w dystrybucji LTR </w:t>
            </w:r>
            <w:r w:rsidR="00C14815" w:rsidRPr="005B56E2">
              <w:rPr>
                <w:sz w:val="24"/>
                <w:szCs w:val="24"/>
              </w:rPr>
              <w:t>minimum 3.16</w:t>
            </w:r>
            <w:r>
              <w:t xml:space="preserve">) lub ArcMap (wersja </w:t>
            </w:r>
            <w:r w:rsidR="00C14815" w:rsidRPr="005B56E2">
              <w:rPr>
                <w:sz w:val="24"/>
                <w:szCs w:val="24"/>
              </w:rPr>
              <w:t>minimum</w:t>
            </w:r>
            <w:r w:rsidR="00C14815">
              <w:t xml:space="preserve"> 10.6</w:t>
            </w:r>
            <w:r>
              <w:t>), które pozwolą na w</w:t>
            </w:r>
            <w:r w:rsidR="00C14815">
              <w:t xml:space="preserve">yświetlenie wynikowych plików GML mapy topograficznej </w:t>
            </w:r>
            <w:r w:rsidR="006B7757">
              <w:t xml:space="preserve">1:50 000 </w:t>
            </w:r>
            <w:r w:rsidR="00C14815">
              <w:t>z zachowaniem odpowiedniej kolejn</w:t>
            </w:r>
            <w:r w:rsidR="006B7757">
              <w:t>ości i symbolizacji.</w:t>
            </w:r>
            <w:r w:rsidR="00C14815">
              <w:t xml:space="preserve"> </w:t>
            </w:r>
            <w:r w:rsidR="006B7757">
              <w:t>W przypadku wyboru przez Wykonawcę oprogramowania ArcMap, wykonawca dostarczy poza plikami GML również wynikową geobazę.</w:t>
            </w:r>
            <w:r w:rsidR="00922C8D">
              <w:t xml:space="preserve"> Projekty QGIS lub ArcMap muszą być przygotowane w układzie PL-UTM, zdefiniowanym w obowiązującym rozporządzeniu </w:t>
            </w:r>
            <w:r w:rsidR="00922C8D" w:rsidRPr="00922C8D">
              <w:t>Rady Ministrów z dnia 1</w:t>
            </w:r>
            <w:r w:rsidR="00922C8D">
              <w:t>5</w:t>
            </w:r>
            <w:r w:rsidR="00922C8D" w:rsidRPr="00922C8D">
              <w:t xml:space="preserve"> </w:t>
            </w:r>
            <w:r w:rsidR="00922C8D">
              <w:t>październik</w:t>
            </w:r>
            <w:r w:rsidR="00922C8D" w:rsidRPr="00922C8D">
              <w:t>a 201</w:t>
            </w:r>
            <w:r w:rsidR="00922C8D">
              <w:t>2</w:t>
            </w:r>
            <w:r w:rsidR="00922C8D" w:rsidRPr="00922C8D">
              <w:t xml:space="preserve"> r. w sprawie państwowego systemu odniesień przestrzennych</w:t>
            </w:r>
            <w:r w:rsidR="00922C8D">
              <w:t xml:space="preserve"> (Dz. U. 2012 poz. 1247)</w:t>
            </w:r>
          </w:p>
        </w:tc>
      </w:tr>
      <w:tr w:rsidR="00E9055B" w14:paraId="337BE196" w14:textId="77777777" w:rsidTr="0061591D">
        <w:tc>
          <w:tcPr>
            <w:tcW w:w="562" w:type="dxa"/>
          </w:tcPr>
          <w:p w14:paraId="7519ED40" w14:textId="7E014DFB" w:rsidR="00E9055B" w:rsidRDefault="00215BBD" w:rsidP="009322F9">
            <w:pPr>
              <w:jc w:val="both"/>
            </w:pPr>
            <w:r>
              <w:t>6</w:t>
            </w:r>
          </w:p>
        </w:tc>
        <w:tc>
          <w:tcPr>
            <w:tcW w:w="8500" w:type="dxa"/>
          </w:tcPr>
          <w:p w14:paraId="7EAFA5E3" w14:textId="0DB488B8" w:rsidR="00E9055B" w:rsidRDefault="00E9055B" w:rsidP="00922C8D">
            <w:pPr>
              <w:jc w:val="both"/>
            </w:pPr>
            <w:r>
              <w:t>Procesy automatycznej generalizacji i redakcji kartograficznej DCM muszą zapisywać da</w:t>
            </w:r>
            <w:r w:rsidR="00922C8D">
              <w:t>ne w układzie współrzędnych PL-UTM</w:t>
            </w:r>
            <w:r>
              <w:t>.</w:t>
            </w:r>
          </w:p>
        </w:tc>
      </w:tr>
      <w:tr w:rsidR="00721187" w14:paraId="0E2E6EBC" w14:textId="77777777" w:rsidTr="0061591D">
        <w:tc>
          <w:tcPr>
            <w:tcW w:w="562" w:type="dxa"/>
          </w:tcPr>
          <w:p w14:paraId="148BB73F" w14:textId="54300DCD" w:rsidR="00721187" w:rsidRDefault="00215BBD" w:rsidP="009322F9">
            <w:pPr>
              <w:jc w:val="both"/>
            </w:pPr>
            <w:r>
              <w:t>7</w:t>
            </w:r>
          </w:p>
        </w:tc>
        <w:tc>
          <w:tcPr>
            <w:tcW w:w="8500" w:type="dxa"/>
          </w:tcPr>
          <w:p w14:paraId="4F01ABF3" w14:textId="1BC789C9" w:rsidR="00721187" w:rsidRDefault="00721187" w:rsidP="00CE4E9C">
            <w:pPr>
              <w:jc w:val="both"/>
            </w:pPr>
            <w:r>
              <w:t>Procesy automatycznej generalizacji i redakcji kartograficznej DCM</w:t>
            </w:r>
            <w:r w:rsidR="00CE4E9C">
              <w:t xml:space="preserve"> oraz</w:t>
            </w:r>
            <w:r>
              <w:t xml:space="preserve"> przygotowane przez Wyko</w:t>
            </w:r>
            <w:r w:rsidR="00CE4E9C">
              <w:t>nawcę symbole muszą być zgodne z</w:t>
            </w:r>
            <w:r>
              <w:t xml:space="preserve"> Rozporządzenie</w:t>
            </w:r>
            <w:r w:rsidR="00CE4E9C">
              <w:t>m</w:t>
            </w:r>
            <w:r>
              <w:t xml:space="preserve"> Ministra Rozwoju, Pracy i Technologii z dnia 27 lipca 2021 r. w sprawie bazy danych obiektów topograficznych oraz bazy danych obiektów ogólnogeograficznych, a także standardowych opracowań kartograficznych, w szczególności w zakresie załącznika nr 5.</w:t>
            </w:r>
          </w:p>
        </w:tc>
      </w:tr>
      <w:tr w:rsidR="0061591D" w14:paraId="23AB982F" w14:textId="77777777" w:rsidTr="0061591D">
        <w:tc>
          <w:tcPr>
            <w:tcW w:w="562" w:type="dxa"/>
          </w:tcPr>
          <w:p w14:paraId="286D3CB9" w14:textId="3AA0CE91" w:rsidR="0061591D" w:rsidRDefault="00215BBD" w:rsidP="009322F9">
            <w:pPr>
              <w:jc w:val="both"/>
            </w:pPr>
            <w:r>
              <w:t>8</w:t>
            </w:r>
          </w:p>
        </w:tc>
        <w:tc>
          <w:tcPr>
            <w:tcW w:w="8500" w:type="dxa"/>
          </w:tcPr>
          <w:p w14:paraId="01BF51A3" w14:textId="0EE7E6D9" w:rsidR="0061591D" w:rsidRDefault="004550A3" w:rsidP="009322F9">
            <w:pPr>
              <w:jc w:val="both"/>
            </w:pPr>
            <w:r>
              <w:t xml:space="preserve">Przed rozpoczęciem </w:t>
            </w:r>
            <w:r w:rsidR="00666908">
              <w:t xml:space="preserve">procesu </w:t>
            </w:r>
            <w:r w:rsidR="006B7757">
              <w:t xml:space="preserve">automatycznej </w:t>
            </w:r>
            <w:r>
              <w:t xml:space="preserve">generalizacji i redakcji kartograficznej DCM </w:t>
            </w:r>
            <w:r w:rsidR="007B6925">
              <w:t xml:space="preserve">musi </w:t>
            </w:r>
            <w:r>
              <w:t xml:space="preserve">istnieć możliwość </w:t>
            </w:r>
            <w:r w:rsidR="00666908">
              <w:t>wybrania</w:t>
            </w:r>
            <w:r w:rsidR="007B6925">
              <w:t xml:space="preserve"> </w:t>
            </w:r>
            <w:r w:rsidR="00CE4E9C">
              <w:t xml:space="preserve">dowolnego </w:t>
            </w:r>
            <w:r w:rsidR="007B6925">
              <w:t>godła</w:t>
            </w:r>
            <w:r w:rsidR="00CE4E9C">
              <w:t xml:space="preserve"> mapy topograficznej w skali 1:50 000 w układzie PL-UTM</w:t>
            </w:r>
            <w:r w:rsidR="007B6925">
              <w:t xml:space="preserve">, dla którego ma być wykonana </w:t>
            </w:r>
            <w:r w:rsidR="00666908">
              <w:t xml:space="preserve">automatyczna </w:t>
            </w:r>
            <w:r w:rsidR="007B6925">
              <w:t>generalizacja i redakcja kartograficzna</w:t>
            </w:r>
            <w:r>
              <w:t xml:space="preserve"> DCM</w:t>
            </w:r>
            <w:r w:rsidR="007B6925">
              <w:t>.</w:t>
            </w:r>
          </w:p>
        </w:tc>
      </w:tr>
      <w:tr w:rsidR="0061591D" w14:paraId="08ED04D9" w14:textId="77777777" w:rsidTr="0061591D">
        <w:tc>
          <w:tcPr>
            <w:tcW w:w="562" w:type="dxa"/>
          </w:tcPr>
          <w:p w14:paraId="44E77C61" w14:textId="0B92B508" w:rsidR="0061591D" w:rsidRDefault="00215BBD" w:rsidP="009322F9">
            <w:pPr>
              <w:jc w:val="both"/>
            </w:pPr>
            <w:r>
              <w:t>9</w:t>
            </w:r>
          </w:p>
        </w:tc>
        <w:tc>
          <w:tcPr>
            <w:tcW w:w="8500" w:type="dxa"/>
          </w:tcPr>
          <w:p w14:paraId="7F9B6E8D" w14:textId="30AF9F4E" w:rsidR="0061591D" w:rsidRDefault="00666908" w:rsidP="009322F9">
            <w:pPr>
              <w:jc w:val="both"/>
            </w:pPr>
            <w:r>
              <w:t>Automatyczna g</w:t>
            </w:r>
            <w:r w:rsidR="007B6925">
              <w:t>eneraliz</w:t>
            </w:r>
            <w:r w:rsidR="004550A3">
              <w:t>acja i redakcja kartograficzna</w:t>
            </w:r>
            <w:r w:rsidR="007B6925">
              <w:t xml:space="preserve"> </w:t>
            </w:r>
            <w:r w:rsidR="004550A3">
              <w:t xml:space="preserve">DCM musi być możliwa do wykonania </w:t>
            </w:r>
            <w:r w:rsidR="007B6925">
              <w:t>dla dowolnego godła mapy topograficznej w skali 1:50 000 w Polsce</w:t>
            </w:r>
            <w:r w:rsidR="00CE4E9C">
              <w:t xml:space="preserve"> w układzie PL-UTM</w:t>
            </w:r>
            <w:r w:rsidR="007B6925">
              <w:t>.</w:t>
            </w:r>
          </w:p>
        </w:tc>
      </w:tr>
      <w:tr w:rsidR="0061591D" w14:paraId="644B9055" w14:textId="77777777" w:rsidTr="0061591D">
        <w:tc>
          <w:tcPr>
            <w:tcW w:w="562" w:type="dxa"/>
          </w:tcPr>
          <w:p w14:paraId="07DFA26C" w14:textId="730B6A84" w:rsidR="0061591D" w:rsidRDefault="00215BBD" w:rsidP="009322F9">
            <w:pPr>
              <w:jc w:val="both"/>
            </w:pPr>
            <w:r>
              <w:t>10</w:t>
            </w:r>
          </w:p>
        </w:tc>
        <w:tc>
          <w:tcPr>
            <w:tcW w:w="8500" w:type="dxa"/>
          </w:tcPr>
          <w:p w14:paraId="2966B572" w14:textId="08722C43" w:rsidR="0061591D" w:rsidRDefault="004550A3" w:rsidP="009322F9">
            <w:pPr>
              <w:jc w:val="both"/>
            </w:pPr>
            <w:r>
              <w:t>Procesy wykonujące generalizację i redakcję kartograficzną DCM muszą działać w pełni automatycznie bez potrzeby ingerencji człowieka.</w:t>
            </w:r>
          </w:p>
        </w:tc>
      </w:tr>
      <w:tr w:rsidR="0061591D" w14:paraId="03A94CCC" w14:textId="77777777" w:rsidTr="0061591D">
        <w:tc>
          <w:tcPr>
            <w:tcW w:w="562" w:type="dxa"/>
          </w:tcPr>
          <w:p w14:paraId="2F02F793" w14:textId="2A9BD596" w:rsidR="0061591D" w:rsidRDefault="00215BBD" w:rsidP="009322F9">
            <w:pPr>
              <w:jc w:val="both"/>
            </w:pPr>
            <w:r>
              <w:t>11</w:t>
            </w:r>
          </w:p>
        </w:tc>
        <w:tc>
          <w:tcPr>
            <w:tcW w:w="8500" w:type="dxa"/>
          </w:tcPr>
          <w:p w14:paraId="1C429077" w14:textId="77777777" w:rsidR="00CB1676" w:rsidRPr="00CB1676" w:rsidRDefault="00CB1676" w:rsidP="009322F9">
            <w:pPr>
              <w:jc w:val="both"/>
              <w:rPr>
                <w:rFonts w:cs="Arial"/>
              </w:rPr>
            </w:pPr>
            <w:r w:rsidRPr="00CB1676">
              <w:rPr>
                <w:rFonts w:cs="Arial"/>
              </w:rPr>
              <w:t xml:space="preserve">Procesy automatycznej generalizacji i redakcji kartograficznej DCM muszą obejmować m.in.: </w:t>
            </w:r>
          </w:p>
          <w:p w14:paraId="1FBAD204" w14:textId="77777777" w:rsidR="00CB1676" w:rsidRDefault="00CB1676" w:rsidP="009322F9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CB1676">
              <w:rPr>
                <w:rFonts w:cs="Arial"/>
              </w:rPr>
              <w:t>agregację przylegających lub położonych w pobliżu obszarów zabudowanych;</w:t>
            </w:r>
          </w:p>
          <w:p w14:paraId="72193FAD" w14:textId="77777777" w:rsidR="00CB1676" w:rsidRDefault="00CB1676" w:rsidP="009322F9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CB1676">
              <w:rPr>
                <w:rFonts w:cs="Arial"/>
              </w:rPr>
              <w:t xml:space="preserve">agregację innych poligonów w oparciu o kryteria powierzchni sąsiedztwa i bliskości a także wymagane kryteria atrybutowe (np. lasy, wody powierzchniowe i inne elementy składające się na pokrycie terenu); </w:t>
            </w:r>
          </w:p>
          <w:p w14:paraId="770F6BA8" w14:textId="3AA84D9C" w:rsidR="00CB1676" w:rsidRDefault="0027362E" w:rsidP="009322F9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jakościową i ilościową generalizację</w:t>
            </w:r>
            <w:r w:rsidR="00CB1676" w:rsidRPr="00CB1676">
              <w:rPr>
                <w:rFonts w:cs="Arial"/>
              </w:rPr>
              <w:t xml:space="preserve"> dróg, sieci</w:t>
            </w:r>
            <w:r w:rsidR="00CE4E9C">
              <w:rPr>
                <w:rFonts w:cs="Arial"/>
              </w:rPr>
              <w:t xml:space="preserve"> wodnej, sieci kolejowej itp. </w:t>
            </w:r>
            <w:r w:rsidR="00291F64">
              <w:rPr>
                <w:rFonts w:cs="Arial"/>
              </w:rPr>
              <w:t>z</w:t>
            </w:r>
            <w:r w:rsidR="00CE4E9C">
              <w:rPr>
                <w:rFonts w:cs="Arial"/>
              </w:rPr>
              <w:t> </w:t>
            </w:r>
            <w:r w:rsidR="00CB1676" w:rsidRPr="00CB1676">
              <w:rPr>
                <w:rFonts w:cs="Arial"/>
              </w:rPr>
              <w:t>zachowaniem topologii liniowej oraz generalnego charakteru sieci; kryteria definiujące zachowanie ogó</w:t>
            </w:r>
            <w:r>
              <w:rPr>
                <w:rFonts w:cs="Arial"/>
              </w:rPr>
              <w:t>lnego charakteru sieci drogowej;</w:t>
            </w:r>
          </w:p>
          <w:p w14:paraId="39456802" w14:textId="1EA51222" w:rsidR="0027362E" w:rsidRDefault="0027362E" w:rsidP="009322F9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zachowanie relatywnej gęstości</w:t>
            </w:r>
            <w:r w:rsidR="00CB1676" w:rsidRPr="00CB1676">
              <w:rPr>
                <w:rFonts w:cs="Arial"/>
              </w:rPr>
              <w:t xml:space="preserve"> sieci drogowej na </w:t>
            </w:r>
            <w:r>
              <w:rPr>
                <w:rFonts w:cs="Arial"/>
              </w:rPr>
              <w:t>mapie</w:t>
            </w:r>
            <w:r w:rsidR="00CB1676" w:rsidRPr="00CB1676">
              <w:rPr>
                <w:rFonts w:cs="Arial"/>
              </w:rPr>
              <w:t xml:space="preserve"> zgeneralizowan</w:t>
            </w:r>
            <w:r>
              <w:rPr>
                <w:rFonts w:cs="Arial"/>
              </w:rPr>
              <w:t>ej</w:t>
            </w:r>
            <w:r w:rsidR="00CB1676" w:rsidRPr="00CB1676">
              <w:rPr>
                <w:rFonts w:cs="Arial"/>
              </w:rPr>
              <w:t>, zachowanie istotnych odcinków dróg łączących drogi wyższych rzędów (priorytety poszczególnych odcinków dróg), usuwanie odci</w:t>
            </w:r>
            <w:r w:rsidR="00CE4E9C">
              <w:rPr>
                <w:rFonts w:cs="Arial"/>
              </w:rPr>
              <w:t>nków dróg „wiszących” (z </w:t>
            </w:r>
            <w:r w:rsidR="00CB1676" w:rsidRPr="00CB1676">
              <w:rPr>
                <w:rFonts w:cs="Arial"/>
              </w:rPr>
              <w:t xml:space="preserve">wyjątkiem dróg prowadzących do miejscowości prezentowanych na mapie, łączących drogi wyższych rzędów lub łączących inne prezentowane obiekty geograficzne); </w:t>
            </w:r>
          </w:p>
          <w:p w14:paraId="67C40969" w14:textId="2DAEFB0D" w:rsidR="00CB1676" w:rsidRDefault="00CB1676" w:rsidP="009322F9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CB1676">
              <w:rPr>
                <w:rFonts w:cs="Arial"/>
              </w:rPr>
              <w:lastRenderedPageBreak/>
              <w:t xml:space="preserve">łączenie bliskich linii do jednej osi; </w:t>
            </w:r>
          </w:p>
          <w:p w14:paraId="373DC786" w14:textId="25CC3D82" w:rsidR="00CB1676" w:rsidRDefault="00C34422" w:rsidP="009322F9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usuwanie</w:t>
            </w:r>
            <w:r w:rsidR="00CB1676" w:rsidRPr="00CB1676">
              <w:rPr>
                <w:rFonts w:cs="Arial"/>
              </w:rPr>
              <w:t xml:space="preserve"> granic pomiędzy obiektami o jednakowych atrybutach; kryterium </w:t>
            </w:r>
            <w:r w:rsidR="0027362E">
              <w:rPr>
                <w:rFonts w:cs="Arial"/>
              </w:rPr>
              <w:t>agregacji;</w:t>
            </w:r>
          </w:p>
          <w:p w14:paraId="56337426" w14:textId="5D8A3CC8" w:rsidR="00CB1676" w:rsidRDefault="00CB1676" w:rsidP="009322F9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CB1676">
              <w:rPr>
                <w:rFonts w:cs="Arial"/>
              </w:rPr>
              <w:t>zachowanie topografii kształtu obszarów po generalizacji, unikanie zbyt</w:t>
            </w:r>
            <w:r w:rsidR="0068502E">
              <w:rPr>
                <w:rFonts w:cs="Arial"/>
              </w:rPr>
              <w:t xml:space="preserve"> dużego p</w:t>
            </w:r>
            <w:r w:rsidR="00291F64">
              <w:rPr>
                <w:rFonts w:cs="Arial"/>
              </w:rPr>
              <w:t>owię</w:t>
            </w:r>
            <w:r w:rsidR="0068502E">
              <w:rPr>
                <w:rFonts w:cs="Arial"/>
              </w:rPr>
              <w:t>kszania obszarów</w:t>
            </w:r>
            <w:r w:rsidRPr="00CB1676">
              <w:rPr>
                <w:rFonts w:cs="Arial"/>
              </w:rPr>
              <w:t xml:space="preserve">; </w:t>
            </w:r>
          </w:p>
          <w:p w14:paraId="6BA441AF" w14:textId="4D01D715" w:rsidR="00CB1676" w:rsidRDefault="00CB1676" w:rsidP="009322F9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CB1676">
              <w:rPr>
                <w:rFonts w:cs="Arial"/>
              </w:rPr>
              <w:t>eliminowanie wydłużonych pol</w:t>
            </w:r>
            <w:r>
              <w:rPr>
                <w:rFonts w:cs="Arial"/>
              </w:rPr>
              <w:t>igonów na granicach wydzieleń;</w:t>
            </w:r>
            <w:r w:rsidRPr="00CB1676">
              <w:rPr>
                <w:rFonts w:cs="Arial"/>
              </w:rPr>
              <w:t xml:space="preserve"> </w:t>
            </w:r>
          </w:p>
          <w:p w14:paraId="1308A139" w14:textId="77777777" w:rsidR="0061591D" w:rsidRDefault="00CB1676" w:rsidP="00F013DA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CB1676">
              <w:rPr>
                <w:rFonts w:cs="Arial"/>
              </w:rPr>
              <w:t>generalizację budynków do obszarów zabudowanych z zachowaniem generalnego kształtu i wielkości obszaru zabudowanego</w:t>
            </w:r>
            <w:r w:rsidR="00F013DA">
              <w:rPr>
                <w:rFonts w:cs="Arial"/>
              </w:rPr>
              <w:t>; kryterium zachowania kształtu;</w:t>
            </w:r>
          </w:p>
          <w:p w14:paraId="7EA249AE" w14:textId="60488AD6" w:rsidR="0007545E" w:rsidRPr="0007545E" w:rsidRDefault="00F013DA" w:rsidP="00F013DA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07545E">
              <w:rPr>
                <w:rFonts w:cs="Arial"/>
              </w:rPr>
              <w:t xml:space="preserve">reguły opisywania obiektów punktowych powinny obejmować przesunięcie względem punktu, preferowane pozycje względem punktu wraz z określeniem hierarchii poszczególnych pozycji, możliwość skręcenia tekstu, możliwość wymuszenia kierunku zgodnego z przebiegiem równoleżników; </w:t>
            </w:r>
          </w:p>
          <w:p w14:paraId="764C1076" w14:textId="5A03202A" w:rsidR="0007545E" w:rsidRPr="0007545E" w:rsidRDefault="00F013DA" w:rsidP="00F013DA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07545E">
              <w:rPr>
                <w:rFonts w:cs="Arial"/>
              </w:rPr>
              <w:t xml:space="preserve">reguły opisywania obiektów liniowych typu ulica (równolegle do osi ulicy, wycentrowany, na osi ulicy lub przesunięty w stosunku do osi opis); </w:t>
            </w:r>
          </w:p>
          <w:p w14:paraId="285464A3" w14:textId="22A2CCC0" w:rsidR="0007545E" w:rsidRPr="0007545E" w:rsidRDefault="00F013DA" w:rsidP="00F013DA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07545E">
              <w:rPr>
                <w:rFonts w:cs="Arial"/>
              </w:rPr>
              <w:t xml:space="preserve">reguły opisywania rzek, warstwic; </w:t>
            </w:r>
          </w:p>
          <w:p w14:paraId="1FE0870A" w14:textId="1B4A9B93" w:rsidR="00F013DA" w:rsidRPr="00F013DA" w:rsidRDefault="00F013DA" w:rsidP="00F013DA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07545E">
              <w:rPr>
                <w:rFonts w:cs="Arial"/>
              </w:rPr>
              <w:t>reguły opisywania obiektów poligonowych (tylko wewnątrz obiektu lub z możliwością wyjścia poza obiekt, równolegle do południków, wzdłuż poligonów wydłużonych typu rzeka, wzdłuż granic</w:t>
            </w:r>
            <w:r w:rsidR="00291F64">
              <w:rPr>
                <w:rFonts w:cs="Arial"/>
              </w:rPr>
              <w:t>)</w:t>
            </w:r>
            <w:r w:rsidRPr="0007545E">
              <w:rPr>
                <w:rFonts w:cs="Arial"/>
              </w:rPr>
              <w:t>.</w:t>
            </w:r>
          </w:p>
        </w:tc>
      </w:tr>
      <w:tr w:rsidR="00492B83" w14:paraId="01E692CA" w14:textId="77777777" w:rsidTr="00CF6880">
        <w:tc>
          <w:tcPr>
            <w:tcW w:w="562" w:type="dxa"/>
          </w:tcPr>
          <w:p w14:paraId="393D20FF" w14:textId="2138ED19" w:rsidR="00492B83" w:rsidRDefault="00215BBD" w:rsidP="009322F9">
            <w:pPr>
              <w:jc w:val="both"/>
            </w:pPr>
            <w:r>
              <w:lastRenderedPageBreak/>
              <w:t>12</w:t>
            </w:r>
          </w:p>
        </w:tc>
        <w:tc>
          <w:tcPr>
            <w:tcW w:w="8500" w:type="dxa"/>
            <w:vAlign w:val="center"/>
          </w:tcPr>
          <w:p w14:paraId="7927AB61" w14:textId="33DF4E9B" w:rsidR="00492B83" w:rsidRPr="00CB1676" w:rsidRDefault="00492B83" w:rsidP="009322F9">
            <w:pPr>
              <w:jc w:val="both"/>
              <w:rPr>
                <w:rFonts w:cs="Arial"/>
              </w:rPr>
            </w:pPr>
            <w:r w:rsidRPr="000E7DD3">
              <w:rPr>
                <w:rFonts w:cs="Arial"/>
              </w:rPr>
              <w:t>Procesy automatycznej generalizacji i redakcji kartograficznej DCM muszą uwzględniać zachowanie podczas generalizacji reguł topologii zależnych od siebie topologicznie warstw, tzn. podczas generalizacji obiektu z jednej warstwy, powiązanej z innymi warstwami, jednocześnie zmianie geometrii ulegają również powiązane z nim obiekty z innych warstw zależnych topologicznie.</w:t>
            </w:r>
          </w:p>
        </w:tc>
      </w:tr>
      <w:tr w:rsidR="00F56622" w14:paraId="3E8FBAF9" w14:textId="77777777" w:rsidTr="00CF6880">
        <w:tc>
          <w:tcPr>
            <w:tcW w:w="562" w:type="dxa"/>
          </w:tcPr>
          <w:p w14:paraId="628227EF" w14:textId="5065221D" w:rsidR="00F56622" w:rsidRDefault="00215BBD" w:rsidP="009322F9">
            <w:pPr>
              <w:jc w:val="both"/>
            </w:pPr>
            <w:r>
              <w:t>13</w:t>
            </w:r>
          </w:p>
        </w:tc>
        <w:tc>
          <w:tcPr>
            <w:tcW w:w="8500" w:type="dxa"/>
            <w:vAlign w:val="center"/>
          </w:tcPr>
          <w:p w14:paraId="6CC4834B" w14:textId="77777777" w:rsidR="00F56622" w:rsidRDefault="00F56622" w:rsidP="009322F9">
            <w:pPr>
              <w:jc w:val="both"/>
              <w:rPr>
                <w:rFonts w:cs="Arial"/>
              </w:rPr>
            </w:pPr>
            <w:r w:rsidRPr="000E7DD3">
              <w:rPr>
                <w:rFonts w:cs="Arial"/>
              </w:rPr>
              <w:t xml:space="preserve">Procesy automatycznej generalizacji i redakcji kartograficznej DCM muszą: </w:t>
            </w:r>
          </w:p>
          <w:p w14:paraId="3409A270" w14:textId="77777777" w:rsidR="00F56622" w:rsidRDefault="00F56622" w:rsidP="009322F9">
            <w:pPr>
              <w:pStyle w:val="Akapitzlist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F56622">
              <w:rPr>
                <w:rFonts w:cs="Arial"/>
              </w:rPr>
              <w:t xml:space="preserve">przycinać dane do zasięgu arkusza, </w:t>
            </w:r>
          </w:p>
          <w:p w14:paraId="5A0FB835" w14:textId="77777777" w:rsidR="00F56622" w:rsidRDefault="00F56622" w:rsidP="009322F9">
            <w:pPr>
              <w:pStyle w:val="Akapitzlist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F56622">
              <w:rPr>
                <w:rFonts w:cs="Arial"/>
              </w:rPr>
              <w:t>generować geometrię kartograficzną obiektów topograficznych,</w:t>
            </w:r>
          </w:p>
          <w:p w14:paraId="671F71B8" w14:textId="77777777" w:rsidR="009322F9" w:rsidRDefault="00F56622" w:rsidP="009322F9">
            <w:pPr>
              <w:pStyle w:val="Akapitzlist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F56622">
              <w:rPr>
                <w:rFonts w:cs="Arial"/>
              </w:rPr>
              <w:t>generować opisy na podstawie wyboru obiektów, które mają być etykietowane (wybór na podstawie zestawu atrybutów), wyboru sposobu etykietowania (miejsce wstawienia etykiety, kąt wstawienia, wielkość i krój czcionki itp., dla liniowych – wzdłuż obiektu, dla powierzchniowych – wzdłuż osi obiektu) w odniesieniu do skali tworzonej mapy,</w:t>
            </w:r>
          </w:p>
          <w:p w14:paraId="3642DFC8" w14:textId="4C742671" w:rsidR="00F56622" w:rsidRPr="00F56622" w:rsidRDefault="00F56622" w:rsidP="009322F9">
            <w:pPr>
              <w:pStyle w:val="Akapitzlist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F56622">
              <w:rPr>
                <w:rFonts w:cs="Arial"/>
              </w:rPr>
              <w:t>generować marginalia (m.in. ramka arkusza mapy, siatka kilometrowa oraz opisy i inne elementy pozaramk</w:t>
            </w:r>
            <w:r w:rsidR="009322F9">
              <w:rPr>
                <w:rFonts w:cs="Arial"/>
              </w:rPr>
              <w:t>owe, legenda mapy, podziałka).</w:t>
            </w:r>
          </w:p>
        </w:tc>
      </w:tr>
      <w:tr w:rsidR="009322F9" w14:paraId="30A93A19" w14:textId="77777777" w:rsidTr="00CF6880">
        <w:tc>
          <w:tcPr>
            <w:tcW w:w="562" w:type="dxa"/>
          </w:tcPr>
          <w:p w14:paraId="179C2C8F" w14:textId="24A437EC" w:rsidR="009322F9" w:rsidRDefault="00215BBD" w:rsidP="009322F9">
            <w:pPr>
              <w:jc w:val="both"/>
            </w:pPr>
            <w:r>
              <w:t>14</w:t>
            </w:r>
          </w:p>
        </w:tc>
        <w:tc>
          <w:tcPr>
            <w:tcW w:w="8500" w:type="dxa"/>
            <w:vAlign w:val="center"/>
          </w:tcPr>
          <w:p w14:paraId="5D6617BB" w14:textId="1CCE67BC" w:rsidR="009322F9" w:rsidRPr="009322F9" w:rsidRDefault="009322F9" w:rsidP="009322F9">
            <w:pPr>
              <w:jc w:val="both"/>
              <w:rPr>
                <w:rFonts w:cs="Arial"/>
              </w:rPr>
            </w:pPr>
            <w:r w:rsidRPr="000E7DD3">
              <w:rPr>
                <w:rFonts w:cs="Arial"/>
              </w:rPr>
              <w:t>Procesy automatycznej generalizacji i red</w:t>
            </w:r>
            <w:r>
              <w:rPr>
                <w:rFonts w:cs="Arial"/>
              </w:rPr>
              <w:t xml:space="preserve">akcji kartograficznej DCM muszą </w:t>
            </w:r>
            <w:r w:rsidRPr="009322F9">
              <w:rPr>
                <w:rFonts w:cs="Arial"/>
              </w:rPr>
              <w:t>wykorzystywać dane PRNG.</w:t>
            </w:r>
          </w:p>
        </w:tc>
      </w:tr>
      <w:tr w:rsidR="00683486" w14:paraId="5F5A33EC" w14:textId="77777777" w:rsidTr="00CF6880">
        <w:tc>
          <w:tcPr>
            <w:tcW w:w="562" w:type="dxa"/>
          </w:tcPr>
          <w:p w14:paraId="521B5A0A" w14:textId="2286C0F9" w:rsidR="00683486" w:rsidRDefault="00683486" w:rsidP="009322F9">
            <w:pPr>
              <w:jc w:val="both"/>
            </w:pPr>
            <w:r>
              <w:t>15</w:t>
            </w:r>
          </w:p>
        </w:tc>
        <w:tc>
          <w:tcPr>
            <w:tcW w:w="8500" w:type="dxa"/>
            <w:vAlign w:val="center"/>
          </w:tcPr>
          <w:p w14:paraId="7E5A0AB8" w14:textId="54E0BA11" w:rsidR="00683486" w:rsidRPr="000E7DD3" w:rsidRDefault="00683486" w:rsidP="009322F9">
            <w:pPr>
              <w:jc w:val="both"/>
              <w:rPr>
                <w:rFonts w:cs="Arial"/>
              </w:rPr>
            </w:pPr>
            <w:r w:rsidRPr="00683486">
              <w:rPr>
                <w:rFonts w:cs="Arial"/>
              </w:rPr>
              <w:t xml:space="preserve">Wykonawca </w:t>
            </w:r>
            <w:r>
              <w:rPr>
                <w:rFonts w:cs="Arial"/>
              </w:rPr>
              <w:t>musi przekazać</w:t>
            </w:r>
            <w:r w:rsidRPr="00683486">
              <w:rPr>
                <w:rFonts w:cs="Arial"/>
              </w:rPr>
              <w:t xml:space="preserve"> pliki GML i ew. pliki geobazy </w:t>
            </w:r>
            <w:r>
              <w:rPr>
                <w:rFonts w:cs="Arial"/>
              </w:rPr>
              <w:t>-</w:t>
            </w:r>
            <w:r w:rsidRPr="00683486">
              <w:rPr>
                <w:rFonts w:cs="Arial"/>
              </w:rPr>
              <w:t xml:space="preserve"> wyniki automatycznej generalizacji i redakcji kartograficznej dla godeł: M-34-75-C i N-34-139-A</w:t>
            </w:r>
            <w:r>
              <w:rPr>
                <w:rFonts w:cs="Arial"/>
              </w:rPr>
              <w:t>.</w:t>
            </w:r>
          </w:p>
        </w:tc>
      </w:tr>
    </w:tbl>
    <w:p w14:paraId="34501D29" w14:textId="2B8CE024" w:rsidR="00466ABF" w:rsidRDefault="00466ABF" w:rsidP="0007545E">
      <w:pPr>
        <w:spacing w:before="240" w:line="240" w:lineRule="auto"/>
        <w:jc w:val="center"/>
        <w:rPr>
          <w:i/>
          <w:sz w:val="24"/>
          <w:szCs w:val="24"/>
        </w:rPr>
      </w:pPr>
      <w:r w:rsidRPr="004F4652">
        <w:rPr>
          <w:i/>
          <w:sz w:val="24"/>
          <w:szCs w:val="24"/>
        </w:rPr>
        <w:t xml:space="preserve">Tab. </w:t>
      </w:r>
      <w:r>
        <w:rPr>
          <w:i/>
          <w:sz w:val="24"/>
          <w:szCs w:val="24"/>
        </w:rPr>
        <w:t>1</w:t>
      </w:r>
      <w:r w:rsidRPr="004F4652">
        <w:rPr>
          <w:i/>
          <w:sz w:val="24"/>
          <w:szCs w:val="24"/>
        </w:rPr>
        <w:t xml:space="preserve">. Wymagania </w:t>
      </w:r>
      <w:r>
        <w:rPr>
          <w:i/>
          <w:sz w:val="24"/>
          <w:szCs w:val="24"/>
        </w:rPr>
        <w:t xml:space="preserve">obligatoryjne </w:t>
      </w:r>
      <w:r w:rsidRPr="004F4652">
        <w:rPr>
          <w:i/>
          <w:sz w:val="24"/>
          <w:szCs w:val="24"/>
        </w:rPr>
        <w:t xml:space="preserve">dla </w:t>
      </w:r>
      <w:r w:rsidR="0061591D">
        <w:rPr>
          <w:i/>
          <w:sz w:val="24"/>
          <w:szCs w:val="24"/>
        </w:rPr>
        <w:t>narzędzi</w:t>
      </w:r>
      <w:r w:rsidRPr="004F4652">
        <w:rPr>
          <w:i/>
          <w:sz w:val="24"/>
          <w:szCs w:val="24"/>
        </w:rPr>
        <w:t>.</w:t>
      </w:r>
    </w:p>
    <w:p w14:paraId="3A7A6C36" w14:textId="77777777" w:rsidR="00682FE2" w:rsidRDefault="00682FE2" w:rsidP="009322F9">
      <w:pPr>
        <w:spacing w:before="240" w:line="240" w:lineRule="auto"/>
        <w:jc w:val="both"/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61591D" w14:paraId="0F922BA6" w14:textId="77777777" w:rsidTr="00E43D94">
        <w:tc>
          <w:tcPr>
            <w:tcW w:w="562" w:type="dxa"/>
          </w:tcPr>
          <w:p w14:paraId="5F292265" w14:textId="77777777" w:rsidR="0061591D" w:rsidRDefault="0061591D" w:rsidP="00F013DA">
            <w:pPr>
              <w:jc w:val="center"/>
            </w:pPr>
            <w:r>
              <w:t>L.p.</w:t>
            </w:r>
          </w:p>
        </w:tc>
        <w:tc>
          <w:tcPr>
            <w:tcW w:w="8500" w:type="dxa"/>
          </w:tcPr>
          <w:p w14:paraId="481959AD" w14:textId="77777777" w:rsidR="0061591D" w:rsidRDefault="0061591D" w:rsidP="00F013DA">
            <w:pPr>
              <w:jc w:val="center"/>
            </w:pPr>
            <w:r w:rsidRPr="005B56E2">
              <w:rPr>
                <w:b/>
                <w:sz w:val="24"/>
                <w:szCs w:val="24"/>
              </w:rPr>
              <w:t>Treść wymagania</w:t>
            </w:r>
          </w:p>
        </w:tc>
      </w:tr>
      <w:tr w:rsidR="0061591D" w14:paraId="1A380161" w14:textId="77777777" w:rsidTr="00E43D94">
        <w:tc>
          <w:tcPr>
            <w:tcW w:w="562" w:type="dxa"/>
          </w:tcPr>
          <w:p w14:paraId="75A1450F" w14:textId="2A4F7FD8" w:rsidR="0061591D" w:rsidRDefault="00F013DA" w:rsidP="009322F9">
            <w:pPr>
              <w:jc w:val="both"/>
            </w:pPr>
            <w:r>
              <w:t>1</w:t>
            </w:r>
          </w:p>
        </w:tc>
        <w:tc>
          <w:tcPr>
            <w:tcW w:w="8500" w:type="dxa"/>
          </w:tcPr>
          <w:p w14:paraId="46E354C6" w14:textId="0AD4C246" w:rsidR="0061591D" w:rsidRDefault="007B6925" w:rsidP="009322F9">
            <w:pPr>
              <w:jc w:val="both"/>
            </w:pPr>
            <w:r>
              <w:t>Powinien istnieć proces główny wywołujący podprocesy.</w:t>
            </w:r>
          </w:p>
        </w:tc>
      </w:tr>
      <w:tr w:rsidR="0061591D" w14:paraId="78E33DCF" w14:textId="77777777" w:rsidTr="00E43D94">
        <w:tc>
          <w:tcPr>
            <w:tcW w:w="562" w:type="dxa"/>
          </w:tcPr>
          <w:p w14:paraId="7199AAB8" w14:textId="6DE603E5" w:rsidR="0061591D" w:rsidRDefault="00884A37" w:rsidP="009322F9">
            <w:pPr>
              <w:jc w:val="both"/>
            </w:pPr>
            <w:r>
              <w:t>2</w:t>
            </w:r>
          </w:p>
        </w:tc>
        <w:tc>
          <w:tcPr>
            <w:tcW w:w="8500" w:type="dxa"/>
          </w:tcPr>
          <w:p w14:paraId="2F3755CC" w14:textId="312423F6" w:rsidR="0061591D" w:rsidRDefault="00884A37" w:rsidP="009322F9">
            <w:pPr>
              <w:jc w:val="both"/>
            </w:pPr>
            <w:r>
              <w:t>Proces</w:t>
            </w:r>
            <w:r w:rsidR="00606889">
              <w:t>y mogą</w:t>
            </w:r>
            <w:r>
              <w:t xml:space="preserve"> wykorzystywać </w:t>
            </w:r>
            <w:r w:rsidR="00606889">
              <w:t>transformator</w:t>
            </w:r>
            <w:r w:rsidR="000C3E7A">
              <w:t>y:</w:t>
            </w:r>
            <w:r w:rsidR="00606889">
              <w:t xml:space="preserve"> MapTextLabeller</w:t>
            </w:r>
            <w:r w:rsidR="000C3E7A">
              <w:t>, MapTextStyler</w:t>
            </w:r>
            <w:r w:rsidR="00606889">
              <w:t xml:space="preserve"> na potrzeby automatycznego rozmieszczania opisów.</w:t>
            </w:r>
          </w:p>
        </w:tc>
      </w:tr>
      <w:tr w:rsidR="0061591D" w14:paraId="2AFDC2F7" w14:textId="77777777" w:rsidTr="00E43D94">
        <w:tc>
          <w:tcPr>
            <w:tcW w:w="562" w:type="dxa"/>
          </w:tcPr>
          <w:p w14:paraId="754A9CBD" w14:textId="442AF753" w:rsidR="0061591D" w:rsidRDefault="00606889" w:rsidP="009322F9">
            <w:pPr>
              <w:jc w:val="both"/>
            </w:pPr>
            <w:r>
              <w:t>3</w:t>
            </w:r>
          </w:p>
        </w:tc>
        <w:tc>
          <w:tcPr>
            <w:tcW w:w="8500" w:type="dxa"/>
          </w:tcPr>
          <w:p w14:paraId="4A6BF75F" w14:textId="2FAABD3F" w:rsidR="00492B83" w:rsidRPr="00606889" w:rsidRDefault="00492B83" w:rsidP="009322F9">
            <w:pPr>
              <w:jc w:val="both"/>
              <w:rPr>
                <w:rFonts w:cs="Arial"/>
              </w:rPr>
            </w:pPr>
            <w:r w:rsidRPr="000E7DD3">
              <w:rPr>
                <w:rFonts w:cs="Arial"/>
              </w:rPr>
              <w:t xml:space="preserve">Procesy automatycznej generalizacji i redakcji kartograficznej DCM </w:t>
            </w:r>
            <w:r>
              <w:rPr>
                <w:rFonts w:cs="Arial"/>
              </w:rPr>
              <w:t>powinny</w:t>
            </w:r>
            <w:r w:rsidRPr="000E7DD3">
              <w:rPr>
                <w:rFonts w:cs="Arial"/>
              </w:rPr>
              <w:t xml:space="preserve"> pozwalać na generowanie elementów rzeźby terenu wymienionych w </w:t>
            </w:r>
            <w:r w:rsidR="00606889">
              <w:t>Rozporządzeniu Ministra Rozwoju, Pracy i Technologii z dnia 27 lipca 2021 r. w sprawie bazy danych obiektów topograficznych oraz bazy danych obiektów ogólnogeograficznych, a także standardowych opracowań kartograficznych</w:t>
            </w:r>
            <w:r w:rsidR="00606889">
              <w:rPr>
                <w:rFonts w:cs="Arial"/>
              </w:rPr>
              <w:t>.</w:t>
            </w:r>
          </w:p>
        </w:tc>
      </w:tr>
      <w:tr w:rsidR="0061591D" w14:paraId="44A27B6D" w14:textId="77777777" w:rsidTr="00E43D94">
        <w:tc>
          <w:tcPr>
            <w:tcW w:w="562" w:type="dxa"/>
          </w:tcPr>
          <w:p w14:paraId="642D5432" w14:textId="3F5EF209" w:rsidR="0061591D" w:rsidRDefault="00606889" w:rsidP="009322F9">
            <w:pPr>
              <w:jc w:val="both"/>
            </w:pPr>
            <w:r>
              <w:lastRenderedPageBreak/>
              <w:t>4</w:t>
            </w:r>
          </w:p>
        </w:tc>
        <w:tc>
          <w:tcPr>
            <w:tcW w:w="8500" w:type="dxa"/>
          </w:tcPr>
          <w:p w14:paraId="3A03F388" w14:textId="1669C2E2" w:rsidR="0061591D" w:rsidRPr="00606889" w:rsidRDefault="009322F9" w:rsidP="00606889">
            <w:pPr>
              <w:jc w:val="both"/>
              <w:rPr>
                <w:rFonts w:cs="Arial"/>
              </w:rPr>
            </w:pPr>
            <w:r w:rsidRPr="000E7DD3">
              <w:rPr>
                <w:rFonts w:cs="Arial"/>
              </w:rPr>
              <w:t xml:space="preserve">Procesy automatycznej generalizacji i redakcji kartograficznej DCM </w:t>
            </w:r>
            <w:r>
              <w:rPr>
                <w:rFonts w:cs="Arial"/>
              </w:rPr>
              <w:t>powinny</w:t>
            </w:r>
            <w:r w:rsidR="00606889">
              <w:rPr>
                <w:rFonts w:cs="Arial"/>
              </w:rPr>
              <w:t xml:space="preserve"> wykorzystywać </w:t>
            </w:r>
            <w:r w:rsidR="00291F64">
              <w:rPr>
                <w:rFonts w:cs="Arial"/>
              </w:rPr>
              <w:t xml:space="preserve">aktualne </w:t>
            </w:r>
            <w:r w:rsidR="00606889">
              <w:rPr>
                <w:rFonts w:cs="Arial"/>
              </w:rPr>
              <w:t>dane NMT</w:t>
            </w:r>
            <w:r w:rsidR="00046A29">
              <w:rPr>
                <w:rFonts w:cs="Arial"/>
              </w:rPr>
              <w:t xml:space="preserve"> dostępne w centralnym zasobie geodezyjnym i kartograficznym</w:t>
            </w:r>
            <w:r w:rsidR="00F66CFF">
              <w:rPr>
                <w:rFonts w:cs="Arial"/>
              </w:rPr>
              <w:t xml:space="preserve"> w formacie Arc/Info ASCII GRID</w:t>
            </w:r>
            <w:r w:rsidR="00606889">
              <w:rPr>
                <w:rFonts w:cs="Arial"/>
              </w:rPr>
              <w:t>.</w:t>
            </w:r>
          </w:p>
        </w:tc>
      </w:tr>
      <w:tr w:rsidR="0061591D" w14:paraId="2ABE6469" w14:textId="77777777" w:rsidTr="00E43D94">
        <w:tc>
          <w:tcPr>
            <w:tcW w:w="562" w:type="dxa"/>
          </w:tcPr>
          <w:p w14:paraId="5A3FF741" w14:textId="42AFC877" w:rsidR="0061591D" w:rsidRDefault="00606889" w:rsidP="009322F9">
            <w:pPr>
              <w:jc w:val="both"/>
            </w:pPr>
            <w:r>
              <w:t>5</w:t>
            </w:r>
          </w:p>
        </w:tc>
        <w:tc>
          <w:tcPr>
            <w:tcW w:w="8500" w:type="dxa"/>
          </w:tcPr>
          <w:p w14:paraId="62FD4EA1" w14:textId="72661D8F" w:rsidR="0061591D" w:rsidRDefault="001A3C07" w:rsidP="00F66CFF">
            <w:pPr>
              <w:jc w:val="both"/>
            </w:pPr>
            <w:r w:rsidRPr="000E7DD3">
              <w:rPr>
                <w:rFonts w:cs="Arial"/>
              </w:rPr>
              <w:t xml:space="preserve">Procesy automatycznej generalizacji i redakcji kartograficznej DCM </w:t>
            </w:r>
            <w:r>
              <w:rPr>
                <w:rFonts w:cs="Arial"/>
              </w:rPr>
              <w:t>powinny</w:t>
            </w:r>
            <w:r w:rsidRPr="000E7DD3">
              <w:rPr>
                <w:rFonts w:cs="Arial"/>
              </w:rPr>
              <w:t xml:space="preserve"> brać pod uwagę reguły redakcji kartograficznej i w sposób możliwie wierny </w:t>
            </w:r>
            <w:r w:rsidRPr="00D81C33">
              <w:rPr>
                <w:rFonts w:cs="Arial"/>
              </w:rPr>
              <w:t>uwzględniać reguły zawarte w mapach topograficznych 1:50 000.</w:t>
            </w:r>
          </w:p>
        </w:tc>
      </w:tr>
      <w:tr w:rsidR="006B39A6" w14:paraId="17ECEC09" w14:textId="77777777" w:rsidTr="00E43D94">
        <w:tc>
          <w:tcPr>
            <w:tcW w:w="562" w:type="dxa"/>
          </w:tcPr>
          <w:p w14:paraId="55777E3F" w14:textId="4E6F407C" w:rsidR="006B39A6" w:rsidRPr="006B39A6" w:rsidRDefault="006B39A6" w:rsidP="009322F9">
            <w:pPr>
              <w:jc w:val="both"/>
            </w:pPr>
            <w:r w:rsidRPr="006B39A6">
              <w:t>6</w:t>
            </w:r>
          </w:p>
        </w:tc>
        <w:tc>
          <w:tcPr>
            <w:tcW w:w="8500" w:type="dxa"/>
          </w:tcPr>
          <w:p w14:paraId="7727D6FB" w14:textId="1154BA0E" w:rsidR="006B39A6" w:rsidRPr="006B39A6" w:rsidRDefault="006B39A6" w:rsidP="006B39A6">
            <w:pPr>
              <w:jc w:val="both"/>
              <w:rPr>
                <w:rFonts w:cs="Arial"/>
              </w:rPr>
            </w:pPr>
            <w:r w:rsidRPr="006B39A6">
              <w:rPr>
                <w:rFonts w:cs="Arial"/>
              </w:rPr>
              <w:t>Procesy automatycznej generalizacji i redakcji kartograficznej DCM powinny obejmować m.in.:</w:t>
            </w:r>
          </w:p>
          <w:p w14:paraId="374B4E24" w14:textId="77777777" w:rsidR="006B39A6" w:rsidRPr="006B39A6" w:rsidRDefault="006B39A6" w:rsidP="006B39A6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6B39A6">
              <w:rPr>
                <w:rFonts w:cs="Arial"/>
              </w:rPr>
              <w:t>rozwiązywanie konfliktów graficznych, np. poprzez rozsunięcie segmentów nachodzących na siebie symboli dróg, przesunięcie lub ukrycie budynków nakładających się na symbole liniowe np. dróg;</w:t>
            </w:r>
          </w:p>
          <w:p w14:paraId="5F0186D4" w14:textId="77777777" w:rsidR="006B39A6" w:rsidRPr="006B39A6" w:rsidRDefault="006B39A6" w:rsidP="006B39A6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6B39A6">
              <w:rPr>
                <w:rFonts w:cs="Arial"/>
              </w:rPr>
              <w:t>rozwiązywanie problemów w miejscach zagęszczenia opisów poprzez np. automatyczne stosowanie skrótów, zmniejszanie liter;</w:t>
            </w:r>
          </w:p>
          <w:p w14:paraId="589E655B" w14:textId="21E225BC" w:rsidR="006B39A6" w:rsidRPr="006B39A6" w:rsidRDefault="006B39A6" w:rsidP="006B39A6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6B39A6">
              <w:rPr>
                <w:rFonts w:cs="Arial"/>
              </w:rPr>
              <w:t>zap</w:t>
            </w:r>
            <w:r>
              <w:rPr>
                <w:rFonts w:cs="Arial"/>
              </w:rPr>
              <w:t>o</w:t>
            </w:r>
            <w:r w:rsidRPr="006B39A6">
              <w:rPr>
                <w:rFonts w:cs="Arial"/>
              </w:rPr>
              <w:t xml:space="preserve">bieganie nakładaniu się opisów wzajemnie oraz na określone obiekty poprzez reguły ich rozsuwania, eliminacji, stosowania odnośników; </w:t>
            </w:r>
          </w:p>
          <w:p w14:paraId="64331D03" w14:textId="501A7408" w:rsidR="006B39A6" w:rsidRPr="006B39A6" w:rsidRDefault="006B39A6" w:rsidP="001A3C07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Arial"/>
              </w:rPr>
            </w:pPr>
            <w:r w:rsidRPr="006B39A6">
              <w:rPr>
                <w:rFonts w:cs="Arial"/>
              </w:rPr>
              <w:t>możliwość stosowania hierarchii opisów w definiowaniu reguł eliminacji konfliktów tekstu.</w:t>
            </w:r>
          </w:p>
        </w:tc>
      </w:tr>
    </w:tbl>
    <w:p w14:paraId="0F8ADD49" w14:textId="1348ED77" w:rsidR="00210507" w:rsidRDefault="004F4652" w:rsidP="0007545E">
      <w:pPr>
        <w:spacing w:before="240" w:line="240" w:lineRule="auto"/>
        <w:jc w:val="center"/>
        <w:rPr>
          <w:i/>
          <w:sz w:val="24"/>
          <w:szCs w:val="24"/>
        </w:rPr>
      </w:pPr>
      <w:r w:rsidRPr="004F4652">
        <w:rPr>
          <w:i/>
          <w:sz w:val="24"/>
          <w:szCs w:val="24"/>
        </w:rPr>
        <w:t xml:space="preserve">Tab. </w:t>
      </w:r>
      <w:r w:rsidR="00466ABF">
        <w:rPr>
          <w:i/>
          <w:sz w:val="24"/>
          <w:szCs w:val="24"/>
        </w:rPr>
        <w:t>2</w:t>
      </w:r>
      <w:r w:rsidRPr="004F4652">
        <w:rPr>
          <w:i/>
          <w:sz w:val="24"/>
          <w:szCs w:val="24"/>
        </w:rPr>
        <w:t xml:space="preserve">. Wymagania </w:t>
      </w:r>
      <w:r w:rsidR="00466ABF">
        <w:rPr>
          <w:i/>
          <w:sz w:val="24"/>
          <w:szCs w:val="24"/>
        </w:rPr>
        <w:t xml:space="preserve">fakultatywne </w:t>
      </w:r>
      <w:r w:rsidRPr="004F4652">
        <w:rPr>
          <w:i/>
          <w:sz w:val="24"/>
          <w:szCs w:val="24"/>
        </w:rPr>
        <w:t xml:space="preserve">dla </w:t>
      </w:r>
      <w:r w:rsidR="0061591D">
        <w:rPr>
          <w:i/>
          <w:sz w:val="24"/>
          <w:szCs w:val="24"/>
        </w:rPr>
        <w:t>narzędzi</w:t>
      </w:r>
      <w:r w:rsidRPr="004F4652">
        <w:rPr>
          <w:i/>
          <w:sz w:val="24"/>
          <w:szCs w:val="24"/>
        </w:rPr>
        <w:t>.</w:t>
      </w:r>
    </w:p>
    <w:p w14:paraId="5D57FFE0" w14:textId="136A0DB9" w:rsidR="00210507" w:rsidRDefault="00210507" w:rsidP="009322F9">
      <w:pPr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Lista załączników:</w:t>
      </w:r>
    </w:p>
    <w:p w14:paraId="7730B8D9" w14:textId="33C5B615" w:rsidR="004B6893" w:rsidRDefault="0007545E" w:rsidP="009322F9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Schemat aplikacyjny GML – plik KARTO.xsd.</w:t>
      </w:r>
    </w:p>
    <w:p w14:paraId="5C8BDDB4" w14:textId="04FED572" w:rsidR="00DF4F9E" w:rsidRPr="00EE4A08" w:rsidRDefault="00DF4F9E" w:rsidP="002715D4">
      <w:pPr>
        <w:pStyle w:val="Akapitzlist"/>
        <w:spacing w:before="240" w:line="240" w:lineRule="auto"/>
        <w:jc w:val="both"/>
        <w:rPr>
          <w:sz w:val="24"/>
          <w:szCs w:val="24"/>
          <w:highlight w:val="yellow"/>
        </w:rPr>
      </w:pPr>
    </w:p>
    <w:sectPr w:rsidR="00DF4F9E" w:rsidRPr="00EE4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CEED5" w14:textId="77777777" w:rsidR="00F83820" w:rsidRDefault="00F83820" w:rsidP="00F44D6D">
      <w:pPr>
        <w:spacing w:after="0" w:line="240" w:lineRule="auto"/>
      </w:pPr>
      <w:r>
        <w:separator/>
      </w:r>
    </w:p>
  </w:endnote>
  <w:endnote w:type="continuationSeparator" w:id="0">
    <w:p w14:paraId="4FE3BC05" w14:textId="77777777" w:rsidR="00F83820" w:rsidRDefault="00F83820" w:rsidP="00F44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2768E" w14:textId="77777777" w:rsidR="00F83820" w:rsidRDefault="00F83820" w:rsidP="00F44D6D">
      <w:pPr>
        <w:spacing w:after="0" w:line="240" w:lineRule="auto"/>
      </w:pPr>
      <w:r>
        <w:separator/>
      </w:r>
    </w:p>
  </w:footnote>
  <w:footnote w:type="continuationSeparator" w:id="0">
    <w:p w14:paraId="268CCF64" w14:textId="77777777" w:rsidR="00F83820" w:rsidRDefault="00F83820" w:rsidP="00F44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10036"/>
    <w:multiLevelType w:val="hybridMultilevel"/>
    <w:tmpl w:val="A5DEC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F1243"/>
    <w:multiLevelType w:val="hybridMultilevel"/>
    <w:tmpl w:val="69BE1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65F39"/>
    <w:multiLevelType w:val="hybridMultilevel"/>
    <w:tmpl w:val="B23899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947187"/>
    <w:multiLevelType w:val="hybridMultilevel"/>
    <w:tmpl w:val="4F167BEE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32DF542B"/>
    <w:multiLevelType w:val="hybridMultilevel"/>
    <w:tmpl w:val="11A2D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C4AB0"/>
    <w:multiLevelType w:val="hybridMultilevel"/>
    <w:tmpl w:val="11A2D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D273C"/>
    <w:multiLevelType w:val="hybridMultilevel"/>
    <w:tmpl w:val="DC566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5592A"/>
    <w:multiLevelType w:val="hybridMultilevel"/>
    <w:tmpl w:val="CD98D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0056"/>
    <w:multiLevelType w:val="hybridMultilevel"/>
    <w:tmpl w:val="26341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94F58"/>
    <w:multiLevelType w:val="hybridMultilevel"/>
    <w:tmpl w:val="5D24A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C0509"/>
    <w:multiLevelType w:val="hybridMultilevel"/>
    <w:tmpl w:val="CD944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11"/>
    <w:rsid w:val="00004ABC"/>
    <w:rsid w:val="000054AC"/>
    <w:rsid w:val="00041BEB"/>
    <w:rsid w:val="00046A29"/>
    <w:rsid w:val="00053F22"/>
    <w:rsid w:val="0007545E"/>
    <w:rsid w:val="00082B98"/>
    <w:rsid w:val="00082CD6"/>
    <w:rsid w:val="000B43E1"/>
    <w:rsid w:val="000C3E7A"/>
    <w:rsid w:val="000C6B89"/>
    <w:rsid w:val="000C7D0D"/>
    <w:rsid w:val="000E0BB2"/>
    <w:rsid w:val="000E5350"/>
    <w:rsid w:val="00104064"/>
    <w:rsid w:val="001103CE"/>
    <w:rsid w:val="0012253C"/>
    <w:rsid w:val="0017093F"/>
    <w:rsid w:val="00171036"/>
    <w:rsid w:val="00171621"/>
    <w:rsid w:val="001774A0"/>
    <w:rsid w:val="00193895"/>
    <w:rsid w:val="0019701B"/>
    <w:rsid w:val="0019771E"/>
    <w:rsid w:val="001A3C07"/>
    <w:rsid w:val="001A5145"/>
    <w:rsid w:val="001A5A0C"/>
    <w:rsid w:val="001C0EC0"/>
    <w:rsid w:val="001D5AC1"/>
    <w:rsid w:val="001E331B"/>
    <w:rsid w:val="001E5A8D"/>
    <w:rsid w:val="0020670B"/>
    <w:rsid w:val="00210507"/>
    <w:rsid w:val="00213150"/>
    <w:rsid w:val="00214FD9"/>
    <w:rsid w:val="00215BBD"/>
    <w:rsid w:val="00217C06"/>
    <w:rsid w:val="00256B8B"/>
    <w:rsid w:val="002715D4"/>
    <w:rsid w:val="0027362E"/>
    <w:rsid w:val="00274C92"/>
    <w:rsid w:val="0028284F"/>
    <w:rsid w:val="002900CE"/>
    <w:rsid w:val="00291F64"/>
    <w:rsid w:val="002A0FE0"/>
    <w:rsid w:val="002B2ABC"/>
    <w:rsid w:val="002C1341"/>
    <w:rsid w:val="002C30F0"/>
    <w:rsid w:val="002D4CC6"/>
    <w:rsid w:val="002E218E"/>
    <w:rsid w:val="002E3BF2"/>
    <w:rsid w:val="002F7ABB"/>
    <w:rsid w:val="003006BB"/>
    <w:rsid w:val="003038F1"/>
    <w:rsid w:val="00314F83"/>
    <w:rsid w:val="00325A61"/>
    <w:rsid w:val="003340C1"/>
    <w:rsid w:val="003429AA"/>
    <w:rsid w:val="00345B7F"/>
    <w:rsid w:val="003564B0"/>
    <w:rsid w:val="003605C5"/>
    <w:rsid w:val="00366602"/>
    <w:rsid w:val="00367D37"/>
    <w:rsid w:val="003751A8"/>
    <w:rsid w:val="00383589"/>
    <w:rsid w:val="003A1BC0"/>
    <w:rsid w:val="003B53E1"/>
    <w:rsid w:val="003C725B"/>
    <w:rsid w:val="003D1556"/>
    <w:rsid w:val="003D21A7"/>
    <w:rsid w:val="003D5832"/>
    <w:rsid w:val="003D5A4E"/>
    <w:rsid w:val="003E4236"/>
    <w:rsid w:val="00412958"/>
    <w:rsid w:val="00424DBA"/>
    <w:rsid w:val="00446871"/>
    <w:rsid w:val="00452DE2"/>
    <w:rsid w:val="004550A3"/>
    <w:rsid w:val="00466ABF"/>
    <w:rsid w:val="00480A53"/>
    <w:rsid w:val="00492B83"/>
    <w:rsid w:val="004B6893"/>
    <w:rsid w:val="004D39BD"/>
    <w:rsid w:val="004D7002"/>
    <w:rsid w:val="004E0861"/>
    <w:rsid w:val="004F4652"/>
    <w:rsid w:val="004F6C4C"/>
    <w:rsid w:val="004F78E6"/>
    <w:rsid w:val="00503720"/>
    <w:rsid w:val="00513BC2"/>
    <w:rsid w:val="00531A61"/>
    <w:rsid w:val="0054645A"/>
    <w:rsid w:val="00552171"/>
    <w:rsid w:val="005624BD"/>
    <w:rsid w:val="005712E0"/>
    <w:rsid w:val="005B56E2"/>
    <w:rsid w:val="005D31C5"/>
    <w:rsid w:val="005E57D9"/>
    <w:rsid w:val="005F7AC4"/>
    <w:rsid w:val="00602EE3"/>
    <w:rsid w:val="00606889"/>
    <w:rsid w:val="0061498E"/>
    <w:rsid w:val="0061591D"/>
    <w:rsid w:val="00623D84"/>
    <w:rsid w:val="00653E5B"/>
    <w:rsid w:val="00661BE5"/>
    <w:rsid w:val="00661C5A"/>
    <w:rsid w:val="00662F03"/>
    <w:rsid w:val="00666908"/>
    <w:rsid w:val="00671C0C"/>
    <w:rsid w:val="00674707"/>
    <w:rsid w:val="00682FE2"/>
    <w:rsid w:val="00683486"/>
    <w:rsid w:val="00684E4B"/>
    <w:rsid w:val="0068502E"/>
    <w:rsid w:val="006A072E"/>
    <w:rsid w:val="006A7238"/>
    <w:rsid w:val="006B39A6"/>
    <w:rsid w:val="006B67DC"/>
    <w:rsid w:val="006B7757"/>
    <w:rsid w:val="006D7591"/>
    <w:rsid w:val="006E5029"/>
    <w:rsid w:val="006F1653"/>
    <w:rsid w:val="006F1687"/>
    <w:rsid w:val="00702A27"/>
    <w:rsid w:val="00721187"/>
    <w:rsid w:val="007258BE"/>
    <w:rsid w:val="00731D87"/>
    <w:rsid w:val="00735029"/>
    <w:rsid w:val="00776DE5"/>
    <w:rsid w:val="007B0884"/>
    <w:rsid w:val="007B6925"/>
    <w:rsid w:val="007D180A"/>
    <w:rsid w:val="007E0F66"/>
    <w:rsid w:val="007E2585"/>
    <w:rsid w:val="007F40EA"/>
    <w:rsid w:val="00807771"/>
    <w:rsid w:val="00826612"/>
    <w:rsid w:val="00832473"/>
    <w:rsid w:val="00833207"/>
    <w:rsid w:val="008407C8"/>
    <w:rsid w:val="008728B5"/>
    <w:rsid w:val="00884A37"/>
    <w:rsid w:val="008A6228"/>
    <w:rsid w:val="008C6BBD"/>
    <w:rsid w:val="008E395B"/>
    <w:rsid w:val="009225B7"/>
    <w:rsid w:val="00922C8D"/>
    <w:rsid w:val="009322F9"/>
    <w:rsid w:val="009339BB"/>
    <w:rsid w:val="009640DE"/>
    <w:rsid w:val="0096782D"/>
    <w:rsid w:val="009733F4"/>
    <w:rsid w:val="00973788"/>
    <w:rsid w:val="009743E0"/>
    <w:rsid w:val="009961E9"/>
    <w:rsid w:val="009A2855"/>
    <w:rsid w:val="009A3088"/>
    <w:rsid w:val="009A75DB"/>
    <w:rsid w:val="009B4D49"/>
    <w:rsid w:val="009B707C"/>
    <w:rsid w:val="009C401B"/>
    <w:rsid w:val="009E4BA9"/>
    <w:rsid w:val="009F480C"/>
    <w:rsid w:val="00A02F65"/>
    <w:rsid w:val="00A14733"/>
    <w:rsid w:val="00A40E75"/>
    <w:rsid w:val="00A46A3D"/>
    <w:rsid w:val="00A47B11"/>
    <w:rsid w:val="00A75639"/>
    <w:rsid w:val="00AB0526"/>
    <w:rsid w:val="00AC1DA2"/>
    <w:rsid w:val="00AC54AF"/>
    <w:rsid w:val="00AC7BA3"/>
    <w:rsid w:val="00AD1CDC"/>
    <w:rsid w:val="00B05610"/>
    <w:rsid w:val="00B154C3"/>
    <w:rsid w:val="00B40267"/>
    <w:rsid w:val="00B642F6"/>
    <w:rsid w:val="00B65B5C"/>
    <w:rsid w:val="00BD2F1A"/>
    <w:rsid w:val="00C14815"/>
    <w:rsid w:val="00C204D4"/>
    <w:rsid w:val="00C34422"/>
    <w:rsid w:val="00C3788A"/>
    <w:rsid w:val="00C42093"/>
    <w:rsid w:val="00C532C7"/>
    <w:rsid w:val="00C678D0"/>
    <w:rsid w:val="00C71B21"/>
    <w:rsid w:val="00C7240F"/>
    <w:rsid w:val="00C74A99"/>
    <w:rsid w:val="00C75202"/>
    <w:rsid w:val="00C81650"/>
    <w:rsid w:val="00C869DF"/>
    <w:rsid w:val="00CA1781"/>
    <w:rsid w:val="00CB1676"/>
    <w:rsid w:val="00CD3743"/>
    <w:rsid w:val="00CE21EC"/>
    <w:rsid w:val="00CE4E9C"/>
    <w:rsid w:val="00CF007D"/>
    <w:rsid w:val="00CF7119"/>
    <w:rsid w:val="00CF73A6"/>
    <w:rsid w:val="00D03107"/>
    <w:rsid w:val="00D258AA"/>
    <w:rsid w:val="00D40BEF"/>
    <w:rsid w:val="00D66823"/>
    <w:rsid w:val="00D73895"/>
    <w:rsid w:val="00D81C33"/>
    <w:rsid w:val="00D9119C"/>
    <w:rsid w:val="00DB0AEF"/>
    <w:rsid w:val="00DB73B9"/>
    <w:rsid w:val="00DC2C76"/>
    <w:rsid w:val="00DD10FC"/>
    <w:rsid w:val="00DE3C4C"/>
    <w:rsid w:val="00DF4F9E"/>
    <w:rsid w:val="00E06432"/>
    <w:rsid w:val="00E11C6C"/>
    <w:rsid w:val="00E334CE"/>
    <w:rsid w:val="00E35D54"/>
    <w:rsid w:val="00E373C0"/>
    <w:rsid w:val="00E41285"/>
    <w:rsid w:val="00E54790"/>
    <w:rsid w:val="00E614BC"/>
    <w:rsid w:val="00E734D3"/>
    <w:rsid w:val="00E85BD1"/>
    <w:rsid w:val="00E87E3C"/>
    <w:rsid w:val="00E9055B"/>
    <w:rsid w:val="00EA680D"/>
    <w:rsid w:val="00EC5167"/>
    <w:rsid w:val="00EC769B"/>
    <w:rsid w:val="00ED5ABC"/>
    <w:rsid w:val="00EE01AC"/>
    <w:rsid w:val="00EE4A08"/>
    <w:rsid w:val="00EE5250"/>
    <w:rsid w:val="00EE77ED"/>
    <w:rsid w:val="00EF4169"/>
    <w:rsid w:val="00EF737C"/>
    <w:rsid w:val="00F013DA"/>
    <w:rsid w:val="00F06FAC"/>
    <w:rsid w:val="00F16A5A"/>
    <w:rsid w:val="00F307B8"/>
    <w:rsid w:val="00F3410C"/>
    <w:rsid w:val="00F35628"/>
    <w:rsid w:val="00F35B8D"/>
    <w:rsid w:val="00F44D6D"/>
    <w:rsid w:val="00F511FF"/>
    <w:rsid w:val="00F56622"/>
    <w:rsid w:val="00F66CFF"/>
    <w:rsid w:val="00F72FB1"/>
    <w:rsid w:val="00F83820"/>
    <w:rsid w:val="00F90174"/>
    <w:rsid w:val="00F94905"/>
    <w:rsid w:val="00FC489A"/>
    <w:rsid w:val="00FC7777"/>
    <w:rsid w:val="00FF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C0E00"/>
  <w15:chartTrackingRefBased/>
  <w15:docId w15:val="{BEB53820-385B-479D-ACBB-5E721F6D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7771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11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2736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23D8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4D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4D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4D6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8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8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8B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3429AA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F78E6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27362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11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dpi.com/10314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3771</TotalTime>
  <Pages>4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Lebiecki Marcin</dc:creator>
  <cp:keywords/>
  <dc:description/>
  <cp:lastModifiedBy>Bober Anna</cp:lastModifiedBy>
  <cp:revision>45</cp:revision>
  <dcterms:created xsi:type="dcterms:W3CDTF">2021-12-21T20:00:00Z</dcterms:created>
  <dcterms:modified xsi:type="dcterms:W3CDTF">2022-01-25T09:35:00Z</dcterms:modified>
</cp:coreProperties>
</file>